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0B3" w:rsidRPr="005E290B" w:rsidRDefault="000B20B3" w:rsidP="000B20B3">
      <w:pPr>
        <w:spacing w:after="120"/>
        <w:rPr>
          <w:color w:val="000000"/>
          <w:sz w:val="44"/>
          <w:szCs w:val="44"/>
        </w:rPr>
      </w:pPr>
      <w:r w:rsidRPr="005E290B">
        <w:rPr>
          <w:noProof/>
          <w:color w:val="000000"/>
        </w:rPr>
        <w:drawing>
          <wp:anchor distT="0" distB="0" distL="114300" distR="114300" simplePos="0" relativeHeight="251659264" behindDoc="1" locked="0" layoutInCell="1" allowOverlap="1">
            <wp:simplePos x="0" y="0"/>
            <wp:positionH relativeFrom="margin">
              <wp:posOffset>-280035</wp:posOffset>
            </wp:positionH>
            <wp:positionV relativeFrom="margin">
              <wp:posOffset>-372110</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rsidR="000B20B3" w:rsidRPr="005E290B" w:rsidRDefault="000B20B3" w:rsidP="000B20B3">
      <w:pPr>
        <w:spacing w:before="120" w:after="120"/>
        <w:jc w:val="center"/>
        <w:rPr>
          <w:rFonts w:cs="Arial Unicode MS"/>
          <w:color w:val="000000"/>
          <w:spacing w:val="20"/>
          <w:lang w:bidi="lo-LA"/>
        </w:rPr>
      </w:pPr>
    </w:p>
    <w:p w:rsidR="000B20B3" w:rsidRPr="005E290B" w:rsidRDefault="000B20B3" w:rsidP="000B20B3">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rsidR="000B20B3" w:rsidRPr="005E290B" w:rsidRDefault="000B20B3" w:rsidP="000B20B3">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rsidR="000B20B3" w:rsidRPr="005E290B" w:rsidRDefault="000B20B3" w:rsidP="000B20B3">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rsidR="000B20B3" w:rsidRPr="005E290B" w:rsidRDefault="000B20B3" w:rsidP="000B20B3">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p>
    <w:p w:rsidR="000B20B3" w:rsidRPr="005E290B" w:rsidRDefault="000B20B3" w:rsidP="000B20B3">
      <w:pPr>
        <w:jc w:val="center"/>
        <w:rPr>
          <w:b/>
          <w:bCs/>
          <w:caps/>
          <w:color w:val="000000"/>
          <w:sz w:val="14"/>
          <w:lang w:bidi="lo-LA"/>
        </w:rPr>
      </w:pPr>
    </w:p>
    <w:p w:rsidR="000B20B3" w:rsidRPr="005E290B" w:rsidRDefault="000B20B3" w:rsidP="000B20B3">
      <w:pPr>
        <w:jc w:val="center"/>
        <w:rPr>
          <w:b/>
          <w:bCs/>
          <w:caps/>
          <w:color w:val="000000"/>
          <w:lang w:bidi="lo-LA"/>
        </w:rPr>
      </w:pPr>
    </w:p>
    <w:p w:rsidR="000B20B3" w:rsidRPr="005E290B" w:rsidRDefault="000B20B3" w:rsidP="000B20B3">
      <w:pPr>
        <w:jc w:val="center"/>
        <w:rPr>
          <w:b/>
          <w:bCs/>
          <w:caps/>
          <w:color w:val="000000"/>
          <w:lang w:bidi="lo-LA"/>
        </w:rPr>
      </w:pPr>
      <w:r w:rsidRPr="005E290B">
        <w:rPr>
          <w:b/>
          <w:bCs/>
          <w:caps/>
          <w:color w:val="000000"/>
          <w:lang w:bidi="lo-LA"/>
        </w:rPr>
        <w:t>MADONAS NOVADA PAŠVALDĪBAS DOMES</w:t>
      </w:r>
    </w:p>
    <w:p w:rsidR="000B20B3" w:rsidRPr="005E290B" w:rsidRDefault="000B20B3" w:rsidP="000B20B3">
      <w:pPr>
        <w:jc w:val="center"/>
        <w:rPr>
          <w:b/>
          <w:bCs/>
          <w:caps/>
          <w:color w:val="000000"/>
          <w:lang w:bidi="lo-LA"/>
        </w:rPr>
      </w:pPr>
      <w:r w:rsidRPr="005E290B">
        <w:rPr>
          <w:b/>
          <w:bCs/>
          <w:caps/>
          <w:color w:val="000000"/>
          <w:lang w:bidi="lo-LA"/>
        </w:rPr>
        <w:t>LĒMUMS</w:t>
      </w:r>
    </w:p>
    <w:p w:rsidR="000B20B3" w:rsidRDefault="000B20B3" w:rsidP="000B20B3">
      <w:pPr>
        <w:jc w:val="center"/>
        <w:rPr>
          <w:color w:val="000000"/>
          <w:lang w:bidi="lo-LA"/>
        </w:rPr>
      </w:pPr>
      <w:r w:rsidRPr="005E290B">
        <w:rPr>
          <w:color w:val="000000"/>
          <w:lang w:bidi="lo-LA"/>
        </w:rPr>
        <w:t>Madonā</w:t>
      </w:r>
    </w:p>
    <w:p w:rsidR="000B20B3" w:rsidRDefault="000B20B3" w:rsidP="000B20B3">
      <w:pPr>
        <w:jc w:val="center"/>
        <w:rPr>
          <w:color w:val="000000"/>
          <w:lang w:bidi="lo-LA"/>
        </w:rPr>
      </w:pPr>
    </w:p>
    <w:p w:rsidR="000B20B3" w:rsidRPr="00056867" w:rsidRDefault="000B20B3" w:rsidP="000B20B3">
      <w:pPr>
        <w:rPr>
          <w:color w:val="000000"/>
          <w:lang w:bidi="lo-LA"/>
        </w:rPr>
      </w:pPr>
    </w:p>
    <w:p w:rsidR="000B20B3" w:rsidRDefault="000B20B3" w:rsidP="000B20B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color w:val="000000"/>
        </w:rPr>
      </w:pPr>
      <w:r w:rsidRPr="001E1A67">
        <w:rPr>
          <w:rFonts w:eastAsia="Arial Unicode MS"/>
          <w:b/>
          <w:color w:val="000000"/>
        </w:rPr>
        <w:t>2022. gada 28. jūlijā</w:t>
      </w:r>
      <w:r w:rsidRPr="001E1A67">
        <w:rPr>
          <w:rFonts w:eastAsia="Arial Unicode MS"/>
          <w:b/>
          <w:color w:val="000000"/>
        </w:rPr>
        <w:tab/>
      </w:r>
      <w:r w:rsidRPr="001E1A67">
        <w:rPr>
          <w:rFonts w:eastAsia="Arial Unicode MS"/>
          <w:b/>
          <w:color w:val="000000"/>
        </w:rPr>
        <w:tab/>
      </w:r>
      <w:r w:rsidRPr="001E1A67">
        <w:rPr>
          <w:rFonts w:eastAsia="Arial Unicode MS"/>
          <w:b/>
          <w:color w:val="000000"/>
        </w:rPr>
        <w:tab/>
      </w:r>
      <w:r w:rsidRPr="001E1A67">
        <w:rPr>
          <w:rFonts w:eastAsia="Arial Unicode MS"/>
          <w:b/>
          <w:color w:val="000000"/>
        </w:rPr>
        <w:tab/>
        <w:t xml:space="preserve">            </w:t>
      </w:r>
      <w:r w:rsidRPr="001E1A67">
        <w:rPr>
          <w:rFonts w:eastAsia="Arial Unicode MS"/>
          <w:b/>
          <w:color w:val="000000"/>
        </w:rPr>
        <w:tab/>
      </w:r>
      <w:r w:rsidRPr="001E1A67">
        <w:rPr>
          <w:rFonts w:eastAsia="Arial Unicode MS"/>
          <w:b/>
          <w:color w:val="000000"/>
        </w:rPr>
        <w:tab/>
      </w:r>
      <w:r w:rsidRPr="001E1A67">
        <w:rPr>
          <w:rFonts w:eastAsia="Arial Unicode MS"/>
          <w:b/>
          <w:color w:val="000000"/>
        </w:rPr>
        <w:tab/>
      </w:r>
      <w:r w:rsidRPr="001E1A67">
        <w:rPr>
          <w:rFonts w:eastAsia="Arial Unicode MS"/>
          <w:b/>
          <w:color w:val="000000"/>
        </w:rPr>
        <w:tab/>
        <w:t>Nr.4</w:t>
      </w:r>
      <w:r>
        <w:rPr>
          <w:rFonts w:eastAsia="Arial Unicode MS"/>
          <w:b/>
          <w:color w:val="000000"/>
        </w:rPr>
        <w:t>72</w:t>
      </w:r>
      <w:r w:rsidRPr="001E1A67">
        <w:rPr>
          <w:rFonts w:eastAsia="Arial Unicode MS"/>
          <w:b/>
          <w:color w:val="000000"/>
        </w:rPr>
        <w:tab/>
      </w:r>
      <w:r w:rsidRPr="001E1A67">
        <w:rPr>
          <w:rFonts w:eastAsia="Arial Unicode MS"/>
          <w:b/>
          <w:color w:val="000000"/>
        </w:rPr>
        <w:tab/>
      </w:r>
      <w:r w:rsidRPr="001E1A67">
        <w:rPr>
          <w:rFonts w:eastAsia="Arial Unicode MS"/>
          <w:b/>
          <w:color w:val="000000"/>
        </w:rPr>
        <w:tab/>
      </w:r>
      <w:r w:rsidRPr="001E1A67">
        <w:rPr>
          <w:rFonts w:eastAsia="Arial Unicode MS"/>
          <w:b/>
          <w:color w:val="000000"/>
        </w:rPr>
        <w:tab/>
      </w:r>
      <w:r w:rsidRPr="001E1A67">
        <w:rPr>
          <w:rFonts w:eastAsia="Arial Unicode MS"/>
          <w:b/>
          <w:color w:val="000000"/>
        </w:rPr>
        <w:tab/>
      </w:r>
      <w:r w:rsidRPr="001E1A67">
        <w:rPr>
          <w:rFonts w:eastAsia="Arial Unicode MS"/>
          <w:b/>
          <w:color w:val="000000"/>
        </w:rPr>
        <w:tab/>
      </w:r>
      <w:r w:rsidRPr="001E1A67">
        <w:rPr>
          <w:rFonts w:eastAsia="Arial Unicode MS"/>
          <w:b/>
          <w:color w:val="000000"/>
        </w:rPr>
        <w:tab/>
      </w:r>
      <w:r w:rsidRPr="001E1A67">
        <w:rPr>
          <w:rFonts w:eastAsia="Arial Unicode MS"/>
          <w:b/>
          <w:color w:val="000000"/>
        </w:rPr>
        <w:tab/>
      </w:r>
      <w:r w:rsidRPr="001E1A67">
        <w:rPr>
          <w:rFonts w:eastAsia="Arial Unicode MS"/>
          <w:b/>
          <w:color w:val="000000"/>
        </w:rPr>
        <w:tab/>
        <w:t xml:space="preserve">               </w:t>
      </w:r>
      <w:r w:rsidRPr="001E1A67">
        <w:rPr>
          <w:rFonts w:eastAsia="Arial Unicode MS"/>
          <w:color w:val="000000"/>
        </w:rPr>
        <w:t>(protokols Nr. 17, 1</w:t>
      </w:r>
      <w:r>
        <w:rPr>
          <w:rFonts w:eastAsia="Arial Unicode MS"/>
          <w:color w:val="000000"/>
        </w:rPr>
        <w:t>7</w:t>
      </w:r>
      <w:r w:rsidRPr="001E1A67">
        <w:rPr>
          <w:rFonts w:eastAsia="Arial Unicode MS"/>
          <w:color w:val="000000"/>
        </w:rPr>
        <w:t>. p.)</w:t>
      </w:r>
    </w:p>
    <w:p w:rsidR="000B20B3" w:rsidRDefault="000B20B3" w:rsidP="000B20B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color w:val="000000"/>
        </w:rPr>
      </w:pPr>
    </w:p>
    <w:p w:rsidR="000B20B3" w:rsidRPr="00D46F81" w:rsidRDefault="000B20B3" w:rsidP="000B20B3">
      <w:pPr>
        <w:jc w:val="both"/>
        <w:rPr>
          <w:b/>
        </w:rPr>
      </w:pPr>
      <w:bookmarkStart w:id="0" w:name="_GoBack"/>
      <w:r w:rsidRPr="00D46F81">
        <w:rPr>
          <w:b/>
        </w:rPr>
        <w:t>Par grozījumiem Madonas novada pašvaldības domes 29.03.2018. lēmumā Nr.138  “</w:t>
      </w:r>
      <w:r w:rsidRPr="00D46F81">
        <w:rPr>
          <w:rFonts w:eastAsia="Arial Unicode MS"/>
          <w:b/>
        </w:rPr>
        <w:t>Par Madonas novada pašvaldības maksas pakalpojumu cenrāžu apstiprināšan</w:t>
      </w:r>
      <w:r w:rsidRPr="00D46F81">
        <w:rPr>
          <w:b/>
        </w:rPr>
        <w:t>u”</w:t>
      </w:r>
    </w:p>
    <w:bookmarkEnd w:id="0"/>
    <w:p w:rsidR="000B20B3" w:rsidRPr="00D46F81" w:rsidRDefault="000B20B3" w:rsidP="000B20B3">
      <w:pPr>
        <w:jc w:val="both"/>
      </w:pPr>
    </w:p>
    <w:p w:rsidR="000B20B3" w:rsidRPr="00D46F81" w:rsidRDefault="000B20B3" w:rsidP="000B20B3">
      <w:pPr>
        <w:ind w:firstLine="567"/>
        <w:jc w:val="both"/>
        <w:rPr>
          <w:rStyle w:val="Izteiksmgs"/>
          <w:b w:val="0"/>
          <w:bCs w:val="0"/>
          <w:shd w:val="clear" w:color="auto" w:fill="FFFFFF"/>
        </w:rPr>
      </w:pPr>
      <w:r w:rsidRPr="00D46F81">
        <w:t>Pamatojoties uz</w:t>
      </w:r>
      <w:r w:rsidRPr="00D46F81">
        <w:rPr>
          <w:b/>
          <w:bCs/>
        </w:rPr>
        <w:t xml:space="preserve"> </w:t>
      </w:r>
      <w:r w:rsidRPr="00D46F81">
        <w:rPr>
          <w:rStyle w:val="Izteiksmgs"/>
          <w:b w:val="0"/>
          <w:bCs w:val="0"/>
          <w:shd w:val="clear" w:color="auto" w:fill="FFFFFF"/>
        </w:rPr>
        <w:t>Ministru kabineta 2022. gada 12. marta noteikumi Nr. 168 "</w:t>
      </w:r>
      <w:r w:rsidRPr="00D46F81">
        <w:rPr>
          <w:rStyle w:val="Izteiksmgs"/>
          <w:rFonts w:eastAsia="Arial Unicode MS"/>
          <w:b w:val="0"/>
          <w:bCs w:val="0"/>
        </w:rPr>
        <w:t>Noteikumi par izmitināšanas un ēdināšanas pakalpojuma nodrošināšanu Ukrainas civiliedzīvotājiem</w:t>
      </w:r>
      <w:r w:rsidRPr="00D46F81">
        <w:rPr>
          <w:rStyle w:val="Izteiksmgs"/>
          <w:b w:val="0"/>
          <w:bCs w:val="0"/>
          <w:shd w:val="clear" w:color="auto" w:fill="FFFFFF"/>
        </w:rPr>
        <w:t>" un Ministru kabineta 2022. gada 8. jūnija noteikumi Nr. 339 "</w:t>
      </w:r>
      <w:r w:rsidRPr="00D46F81">
        <w:rPr>
          <w:rStyle w:val="Izteiksmgs"/>
          <w:rFonts w:eastAsia="Arial Unicode MS"/>
          <w:b w:val="0"/>
          <w:bCs w:val="0"/>
        </w:rPr>
        <w:t>Noteikumi par primāri sniedzamā atbalsta nodrošināšanu Ukrainas civiliedzīvotājiem</w:t>
      </w:r>
      <w:r w:rsidRPr="00D46F81">
        <w:rPr>
          <w:rStyle w:val="Izteiksmgs"/>
          <w:b w:val="0"/>
          <w:bCs w:val="0"/>
          <w:shd w:val="clear" w:color="auto" w:fill="FFFFFF"/>
        </w:rPr>
        <w:t>" (ar pēdējiem grozījumiem, kas stājas spēkā 2022.gada 20.jūlijā)</w:t>
      </w:r>
    </w:p>
    <w:p w:rsidR="000B20B3" w:rsidRPr="00D46F81" w:rsidRDefault="000B20B3" w:rsidP="000B20B3">
      <w:pPr>
        <w:ind w:firstLine="567"/>
        <w:jc w:val="both"/>
      </w:pPr>
      <w:r w:rsidRPr="00D46F81">
        <w:t xml:space="preserve">Pašvaldībā izmitinātajiem Ukrainas civiliedzīvotājiem beigsies valsts nodrošinātais atbalsts, jo viņu atrašanās laiks šeit sasniegs 120 dienas. </w:t>
      </w:r>
    </w:p>
    <w:p w:rsidR="000B20B3" w:rsidRPr="00D46F81" w:rsidRDefault="000B20B3" w:rsidP="000B20B3">
      <w:pPr>
        <w:ind w:firstLine="567"/>
        <w:jc w:val="both"/>
      </w:pPr>
      <w:r w:rsidRPr="00D46F81">
        <w:t xml:space="preserve">Ukrainas civiliedzīvotāju atbalsta likuma 8. panta pirmajā daļā paredzēts, ka  pasākumus atbalsta sniegšanai Ukrainas civiliedzīvotājiem primāri finansē no valsts budžeta un pašvaldību budžetu līdzekļiem, kas iedalīti no budžeta finansētajām institūcijām. </w:t>
      </w:r>
    </w:p>
    <w:p w:rsidR="000B20B3" w:rsidRPr="00D46F81" w:rsidRDefault="000B20B3" w:rsidP="000B20B3">
      <w:pPr>
        <w:ind w:firstLine="567"/>
        <w:jc w:val="both"/>
      </w:pPr>
      <w:r w:rsidRPr="00D46F81">
        <w:t>Pašvaldībā izmitinātajiem Ukrainas civiliedzīvotājiem izmitināšanas termiņš 120 dienas sasniegs 19. jūlijā. Ukrainas civiliedzīvotājiem, kuriem beidzas valsts sniegtais atbalsts, jānodrošina visi maksājumi par dzīvošanu Latvijā.</w:t>
      </w:r>
    </w:p>
    <w:p w:rsidR="000B20B3" w:rsidRPr="00D46F81" w:rsidRDefault="000B20B3" w:rsidP="000B20B3">
      <w:pPr>
        <w:ind w:firstLine="567"/>
        <w:jc w:val="both"/>
        <w:rPr>
          <w:rStyle w:val="Izteiksmgs"/>
          <w:b w:val="0"/>
          <w:bCs w:val="0"/>
        </w:rPr>
      </w:pPr>
      <w:r w:rsidRPr="00D46F81">
        <w:t>Likums “Par pašvaldībām” 21. panta pirmās daļas 14. punktā paredzēts, ka pašvaldības dome var noteikt maksu par nekustamā īpašuma lietošanu (iznomāšanu) un pašvaldības dzīvojamā un nedzīvojamā fonda īri (nomu).</w:t>
      </w:r>
    </w:p>
    <w:p w:rsidR="000B20B3" w:rsidRPr="00D46F81" w:rsidRDefault="000B20B3" w:rsidP="000B20B3">
      <w:pPr>
        <w:ind w:firstLine="567"/>
        <w:jc w:val="both"/>
        <w:rPr>
          <w:rStyle w:val="Izteiksmgs"/>
          <w:b w:val="0"/>
          <w:bCs w:val="0"/>
          <w:shd w:val="clear" w:color="auto" w:fill="FFFFFF"/>
        </w:rPr>
      </w:pPr>
      <w:r w:rsidRPr="00D46F81">
        <w:rPr>
          <w:rStyle w:val="Izteiksmgs"/>
          <w:b w:val="0"/>
          <w:bCs w:val="0"/>
          <w:shd w:val="clear" w:color="auto" w:fill="FFFFFF"/>
        </w:rPr>
        <w:t>Pamatojoties uz cenu pieaugumu un nepieciešamību aktualizēt Izglītības iestāžu un Sociālās aprūpes iestāžu darbinieku ēdināšanas izmaksas Finanšu nodaļa ir veikusi aprēķinus par iestādēm ar ēdināšanas pakalpojumu periodā no 2021.gada septembra līdz 2021.gada decembrim pēc fakta ņemot vērā: produktu faktiskās izmaksas, virtuves darbinieku algas nodokļus piemaksas, grāmatvedības izmaksas, iestāžu vadītāja un saimnieciskā personāla daļēju atlīdzību, saimniecības un dezinfekcijas preču daļējas izmaksas, pamatlīdzekļu, inventāra un krājumu daļējas izmaksas, programmatūru izmaksas, kā arī algu pieaugumu un inflāciju pēc oficiāliem datiem uz 2022.gada jūniju.</w:t>
      </w:r>
    </w:p>
    <w:p w:rsidR="000B20B3" w:rsidRPr="00D46F81" w:rsidRDefault="000B20B3" w:rsidP="000B20B3">
      <w:pPr>
        <w:ind w:firstLine="567"/>
        <w:jc w:val="both"/>
      </w:pPr>
      <w:r w:rsidRPr="00D46F81">
        <w:t>Likuma “Par pašvaldībām” 21.panta pirmās daļas 14.punkta g) apakšpunkts nosaka, ka dome var izskatīt jebkuru jautājumu, kas ir attiecīgās pašvaldības pārziņā, turklāt tikai dome var noteikt, ja tas nav aizliegts vai noteikts ar likumiem un Ministru kabineta noteikumiem, maksu par pašvaldības sniegtajiem pakalpojumiem.</w:t>
      </w:r>
    </w:p>
    <w:p w:rsidR="000B20B3" w:rsidRPr="00D46F81" w:rsidRDefault="000B20B3" w:rsidP="000B20B3">
      <w:pPr>
        <w:ind w:firstLine="720"/>
        <w:jc w:val="both"/>
      </w:pPr>
      <w:r w:rsidRPr="00D46F81">
        <w:t xml:space="preserve">Noklausījusies sniegto informāciju, </w:t>
      </w:r>
      <w:r w:rsidRPr="00D46F81">
        <w:rPr>
          <w:b/>
          <w:bCs/>
          <w:color w:val="000000"/>
        </w:rPr>
        <w:t xml:space="preserve">atklāti balsojot: </w:t>
      </w:r>
      <w:r w:rsidRPr="00D46F81">
        <w:rPr>
          <w:b/>
          <w:color w:val="000000"/>
        </w:rPr>
        <w:t xml:space="preserve">PAR – 16 </w:t>
      </w:r>
      <w:r w:rsidRPr="00D46F81">
        <w:rPr>
          <w:bCs/>
          <w:noProof/>
        </w:rPr>
        <w:t xml:space="preserve">(Agris Lungevičs, Aigars Šķēls, Aivis Masaļskis, Andrejs Ceļapīters, Andris Dombrovskis, Andris Sakne, Artūrs Grandāns, Gatis Teilis, Gunārs Ikaunieks, Guntis Klikučs, Iveta Peilāne, Kaspars Udrass, </w:t>
      </w:r>
      <w:r w:rsidRPr="00D46F81">
        <w:rPr>
          <w:bCs/>
          <w:noProof/>
        </w:rPr>
        <w:lastRenderedPageBreak/>
        <w:t>Rūdolfs Preiss, Sandra Maksimova, Valda Kļaviņa, Vita Robalte),</w:t>
      </w:r>
      <w:r w:rsidRPr="00D46F81">
        <w:rPr>
          <w:b/>
          <w:noProof/>
        </w:rPr>
        <w:t xml:space="preserve"> </w:t>
      </w:r>
      <w:r w:rsidRPr="00D46F81">
        <w:rPr>
          <w:b/>
          <w:color w:val="000000"/>
        </w:rPr>
        <w:t>PRET – NAV</w:t>
      </w:r>
      <w:r w:rsidRPr="00D46F81">
        <w:rPr>
          <w:noProof/>
          <w:color w:val="000000"/>
        </w:rPr>
        <w:t>,</w:t>
      </w:r>
      <w:r w:rsidRPr="00D46F81">
        <w:rPr>
          <w:b/>
          <w:color w:val="000000"/>
        </w:rPr>
        <w:t xml:space="preserve"> ATTURAS –  NAV</w:t>
      </w:r>
      <w:r w:rsidRPr="00D46F81">
        <w:rPr>
          <w:color w:val="000000"/>
        </w:rPr>
        <w:t>,</w:t>
      </w:r>
      <w:r w:rsidRPr="00D46F81">
        <w:rPr>
          <w:b/>
          <w:color w:val="000000"/>
        </w:rPr>
        <w:t xml:space="preserve"> </w:t>
      </w:r>
      <w:r w:rsidRPr="00D46F81">
        <w:rPr>
          <w:color w:val="000000"/>
        </w:rPr>
        <w:t xml:space="preserve">Madonas novada pašvaldības dome </w:t>
      </w:r>
      <w:r w:rsidRPr="00D46F81">
        <w:rPr>
          <w:b/>
          <w:color w:val="000000"/>
        </w:rPr>
        <w:t>NOLEMJ:</w:t>
      </w:r>
    </w:p>
    <w:p w:rsidR="000B20B3" w:rsidRPr="00D46F81" w:rsidRDefault="000B20B3" w:rsidP="000B20B3">
      <w:pPr>
        <w:ind w:right="187"/>
        <w:jc w:val="both"/>
      </w:pPr>
    </w:p>
    <w:p w:rsidR="000B20B3" w:rsidRPr="00D46F81" w:rsidRDefault="000B20B3" w:rsidP="000B20B3">
      <w:pPr>
        <w:ind w:right="187" w:firstLine="567"/>
        <w:jc w:val="both"/>
      </w:pPr>
      <w:r w:rsidRPr="00D46F81">
        <w:tab/>
        <w:t xml:space="preserve">1. Izdarīt Madonas novada pašvaldības domes 2018.gada 29.marta lēmuma Nr.138 (protokols Nr.5, 31.p.) šādus grozījumus: </w:t>
      </w:r>
      <w:bookmarkStart w:id="1" w:name="_Hlk98770655"/>
    </w:p>
    <w:p w:rsidR="000B20B3" w:rsidRPr="00D46F81" w:rsidRDefault="000B20B3" w:rsidP="000B20B3">
      <w:pPr>
        <w:ind w:right="187" w:firstLine="567"/>
        <w:jc w:val="both"/>
      </w:pPr>
      <w:r w:rsidRPr="00D46F81">
        <w:t>1.1. Lēmuma pielikuma Nr. 16 “</w:t>
      </w:r>
      <w:bookmarkStart w:id="2" w:name="_Hlk98770272"/>
      <w:r w:rsidRPr="00D46F81">
        <w:t>Ukrainas civiliedzīvotāju izmitināšana šim mērķim pielāgotās telpās un ēdināšana, ko nodrošina Madonas novada pašvaldības iestādes”, 16.1.apakšpunkt</w:t>
      </w:r>
      <w:bookmarkEnd w:id="1"/>
      <w:bookmarkEnd w:id="2"/>
      <w:r w:rsidRPr="00D46F81">
        <w:t xml:space="preserve">u izteikt šādā redakcijā: </w:t>
      </w:r>
    </w:p>
    <w:p w:rsidR="000B20B3" w:rsidRPr="00D818BB" w:rsidRDefault="000B20B3" w:rsidP="000B20B3">
      <w:pPr>
        <w:ind w:right="187"/>
        <w:jc w:val="both"/>
        <w:rPr>
          <w:sz w:val="10"/>
          <w:szCs w:val="10"/>
        </w:rPr>
      </w:pPr>
    </w:p>
    <w:tbl>
      <w:tblPr>
        <w:tblW w:w="9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669"/>
        <w:gridCol w:w="1464"/>
        <w:gridCol w:w="1324"/>
        <w:gridCol w:w="938"/>
        <w:gridCol w:w="922"/>
      </w:tblGrid>
      <w:tr w:rsidR="000B20B3" w:rsidRPr="00D46F81" w:rsidTr="00775426">
        <w:tc>
          <w:tcPr>
            <w:tcW w:w="756" w:type="dxa"/>
            <w:shd w:val="clear" w:color="auto" w:fill="auto"/>
          </w:tcPr>
          <w:p w:rsidR="000B20B3" w:rsidRDefault="000B20B3" w:rsidP="00775426">
            <w:pPr>
              <w:rPr>
                <w:rFonts w:eastAsia="Calibri"/>
              </w:rPr>
            </w:pPr>
            <w:r>
              <w:rPr>
                <w:rFonts w:eastAsia="Calibri"/>
              </w:rPr>
              <w:t>Nr. p.k.</w:t>
            </w:r>
          </w:p>
        </w:tc>
        <w:tc>
          <w:tcPr>
            <w:tcW w:w="3669" w:type="dxa"/>
            <w:shd w:val="clear" w:color="auto" w:fill="auto"/>
          </w:tcPr>
          <w:p w:rsidR="000B20B3" w:rsidRDefault="000B20B3" w:rsidP="00775426">
            <w:pPr>
              <w:rPr>
                <w:rFonts w:eastAsia="Calibri"/>
              </w:rPr>
            </w:pPr>
            <w:r>
              <w:rPr>
                <w:rFonts w:eastAsia="Calibri"/>
              </w:rPr>
              <w:t>Pakalpojuma veids un vieta</w:t>
            </w:r>
          </w:p>
        </w:tc>
        <w:tc>
          <w:tcPr>
            <w:tcW w:w="1464" w:type="dxa"/>
            <w:shd w:val="clear" w:color="auto" w:fill="auto"/>
          </w:tcPr>
          <w:p w:rsidR="000B20B3" w:rsidRDefault="000B20B3" w:rsidP="00775426">
            <w:pPr>
              <w:rPr>
                <w:rFonts w:eastAsia="Calibri"/>
              </w:rPr>
            </w:pPr>
            <w:r>
              <w:rPr>
                <w:rFonts w:eastAsia="Calibri"/>
              </w:rPr>
              <w:t>Mērvienība</w:t>
            </w:r>
          </w:p>
        </w:tc>
        <w:tc>
          <w:tcPr>
            <w:tcW w:w="1324" w:type="dxa"/>
            <w:shd w:val="clear" w:color="auto" w:fill="auto"/>
          </w:tcPr>
          <w:p w:rsidR="000B20B3" w:rsidRDefault="000B20B3" w:rsidP="00775426">
            <w:pPr>
              <w:rPr>
                <w:rFonts w:eastAsia="Calibri"/>
              </w:rPr>
            </w:pPr>
            <w:r>
              <w:rPr>
                <w:rFonts w:eastAsia="Calibri"/>
              </w:rPr>
              <w:t>Cena bez PVN (eiro)</w:t>
            </w:r>
          </w:p>
        </w:tc>
        <w:tc>
          <w:tcPr>
            <w:tcW w:w="938" w:type="dxa"/>
            <w:shd w:val="clear" w:color="auto" w:fill="auto"/>
          </w:tcPr>
          <w:p w:rsidR="000B20B3" w:rsidRDefault="000B20B3" w:rsidP="00775426">
            <w:pPr>
              <w:rPr>
                <w:rFonts w:eastAsia="Calibri"/>
              </w:rPr>
            </w:pPr>
            <w:r>
              <w:rPr>
                <w:rFonts w:eastAsia="Calibri"/>
              </w:rPr>
              <w:t xml:space="preserve">PVN </w:t>
            </w:r>
            <w:r>
              <w:rPr>
                <w:rFonts w:eastAsia="Calibri"/>
                <w:vertAlign w:val="superscript"/>
              </w:rPr>
              <w:t xml:space="preserve"> </w:t>
            </w:r>
            <w:r>
              <w:rPr>
                <w:rFonts w:eastAsia="Calibri"/>
              </w:rPr>
              <w:t>(eiro)</w:t>
            </w:r>
          </w:p>
        </w:tc>
        <w:tc>
          <w:tcPr>
            <w:tcW w:w="922" w:type="dxa"/>
            <w:shd w:val="clear" w:color="auto" w:fill="auto"/>
          </w:tcPr>
          <w:p w:rsidR="000B20B3" w:rsidRDefault="000B20B3" w:rsidP="00775426">
            <w:pPr>
              <w:rPr>
                <w:rFonts w:eastAsia="Calibri"/>
              </w:rPr>
            </w:pPr>
            <w:r>
              <w:rPr>
                <w:rFonts w:eastAsia="Calibri"/>
              </w:rPr>
              <w:t>Cena ar PVN (eiro)</w:t>
            </w:r>
          </w:p>
        </w:tc>
      </w:tr>
      <w:tr w:rsidR="000B20B3" w:rsidRPr="00D46F81" w:rsidTr="00775426">
        <w:tc>
          <w:tcPr>
            <w:tcW w:w="756" w:type="dxa"/>
            <w:shd w:val="clear" w:color="auto" w:fill="auto"/>
          </w:tcPr>
          <w:p w:rsidR="000B20B3" w:rsidRDefault="000B20B3" w:rsidP="00775426">
            <w:pPr>
              <w:rPr>
                <w:rFonts w:eastAsia="Calibri"/>
                <w:b/>
                <w:bCs/>
              </w:rPr>
            </w:pPr>
            <w:r>
              <w:rPr>
                <w:rFonts w:eastAsia="Calibri"/>
                <w:b/>
                <w:bCs/>
              </w:rPr>
              <w:t>1.</w:t>
            </w:r>
          </w:p>
        </w:tc>
        <w:tc>
          <w:tcPr>
            <w:tcW w:w="8317" w:type="dxa"/>
            <w:gridSpan w:val="5"/>
            <w:shd w:val="clear" w:color="auto" w:fill="auto"/>
          </w:tcPr>
          <w:p w:rsidR="000B20B3" w:rsidRDefault="000B20B3" w:rsidP="00775426">
            <w:pPr>
              <w:rPr>
                <w:rFonts w:eastAsia="Calibri"/>
                <w:b/>
                <w:bCs/>
              </w:rPr>
            </w:pPr>
            <w:r>
              <w:rPr>
                <w:rFonts w:eastAsia="Calibri"/>
                <w:b/>
                <w:bCs/>
              </w:rPr>
              <w:t xml:space="preserve">Izmitināšana </w:t>
            </w:r>
            <w:r w:rsidRPr="000B20B3">
              <w:rPr>
                <w:rFonts w:eastAsia="Calibri"/>
                <w:bCs/>
              </w:rPr>
              <w:t>(</w:t>
            </w:r>
            <w:r>
              <w:rPr>
                <w:rFonts w:eastAsia="Calibri"/>
              </w:rPr>
              <w:t>Ierodoties izmitināšanas vietā Madonas novada pašvaldības teritorijas iestādēs)</w:t>
            </w:r>
          </w:p>
        </w:tc>
      </w:tr>
      <w:tr w:rsidR="000B20B3" w:rsidRPr="00D46F81" w:rsidTr="00775426">
        <w:tc>
          <w:tcPr>
            <w:tcW w:w="756" w:type="dxa"/>
            <w:shd w:val="clear" w:color="auto" w:fill="auto"/>
          </w:tcPr>
          <w:p w:rsidR="000B20B3" w:rsidRDefault="000B20B3" w:rsidP="00775426">
            <w:pPr>
              <w:rPr>
                <w:rFonts w:eastAsia="Calibri"/>
              </w:rPr>
            </w:pPr>
            <w:r>
              <w:rPr>
                <w:rFonts w:eastAsia="Calibri"/>
              </w:rPr>
              <w:t>1.1.</w:t>
            </w:r>
          </w:p>
        </w:tc>
        <w:tc>
          <w:tcPr>
            <w:tcW w:w="3669" w:type="dxa"/>
            <w:shd w:val="clear" w:color="auto" w:fill="auto"/>
          </w:tcPr>
          <w:p w:rsidR="000B20B3" w:rsidRDefault="000B20B3" w:rsidP="00775426">
            <w:pPr>
              <w:rPr>
                <w:rFonts w:eastAsia="Calibri"/>
              </w:rPr>
            </w:pPr>
            <w:r>
              <w:rPr>
                <w:rFonts w:eastAsia="Calibri"/>
              </w:rPr>
              <w:t>Līdz 24.05.2022. (ieskaitot) (</w:t>
            </w:r>
            <w:proofErr w:type="spellStart"/>
            <w:r>
              <w:rPr>
                <w:rFonts w:eastAsia="Calibri"/>
              </w:rPr>
              <w:t>max</w:t>
            </w:r>
            <w:proofErr w:type="spellEnd"/>
            <w:r>
              <w:rPr>
                <w:rFonts w:eastAsia="Calibri"/>
              </w:rPr>
              <w:t xml:space="preserve"> 120 dienas)</w:t>
            </w:r>
          </w:p>
        </w:tc>
        <w:tc>
          <w:tcPr>
            <w:tcW w:w="1464" w:type="dxa"/>
            <w:shd w:val="clear" w:color="auto" w:fill="auto"/>
          </w:tcPr>
          <w:p w:rsidR="000B20B3" w:rsidRDefault="000B20B3" w:rsidP="00775426">
            <w:pPr>
              <w:rPr>
                <w:rFonts w:eastAsia="Calibri"/>
              </w:rPr>
            </w:pPr>
            <w:r>
              <w:rPr>
                <w:rFonts w:eastAsia="Calibri"/>
              </w:rPr>
              <w:t>1 personai diennaktī</w:t>
            </w:r>
          </w:p>
        </w:tc>
        <w:tc>
          <w:tcPr>
            <w:tcW w:w="1324" w:type="dxa"/>
            <w:shd w:val="clear" w:color="auto" w:fill="auto"/>
          </w:tcPr>
          <w:p w:rsidR="000B20B3" w:rsidRDefault="000B20B3" w:rsidP="00775426">
            <w:pPr>
              <w:rPr>
                <w:rFonts w:eastAsia="Calibri"/>
              </w:rPr>
            </w:pPr>
            <w:r>
              <w:rPr>
                <w:rFonts w:eastAsia="Calibri"/>
                <w:b/>
                <w:bCs/>
              </w:rPr>
              <w:t>16,50</w:t>
            </w:r>
          </w:p>
        </w:tc>
        <w:tc>
          <w:tcPr>
            <w:tcW w:w="938" w:type="dxa"/>
            <w:shd w:val="clear" w:color="auto" w:fill="auto"/>
          </w:tcPr>
          <w:p w:rsidR="000B20B3" w:rsidRDefault="000B20B3" w:rsidP="00775426">
            <w:pPr>
              <w:rPr>
                <w:rFonts w:eastAsia="Calibri"/>
              </w:rPr>
            </w:pPr>
            <w:r>
              <w:rPr>
                <w:rFonts w:eastAsia="Calibri"/>
                <w:b/>
                <w:bCs/>
              </w:rPr>
              <w:t>3,47</w:t>
            </w:r>
          </w:p>
        </w:tc>
        <w:tc>
          <w:tcPr>
            <w:tcW w:w="922" w:type="dxa"/>
            <w:shd w:val="clear" w:color="auto" w:fill="auto"/>
          </w:tcPr>
          <w:p w:rsidR="000B20B3" w:rsidRDefault="000B20B3" w:rsidP="00775426">
            <w:pPr>
              <w:rPr>
                <w:rFonts w:eastAsia="Calibri"/>
              </w:rPr>
            </w:pPr>
            <w:r>
              <w:rPr>
                <w:rFonts w:eastAsia="Calibri"/>
                <w:b/>
                <w:bCs/>
              </w:rPr>
              <w:t>19,97</w:t>
            </w:r>
          </w:p>
        </w:tc>
      </w:tr>
      <w:tr w:rsidR="000B20B3" w:rsidRPr="00D46F81" w:rsidTr="00775426">
        <w:tc>
          <w:tcPr>
            <w:tcW w:w="756" w:type="dxa"/>
            <w:shd w:val="clear" w:color="auto" w:fill="auto"/>
          </w:tcPr>
          <w:p w:rsidR="000B20B3" w:rsidRDefault="000B20B3" w:rsidP="00775426">
            <w:pPr>
              <w:rPr>
                <w:rFonts w:eastAsia="Calibri"/>
              </w:rPr>
            </w:pPr>
            <w:r>
              <w:rPr>
                <w:rFonts w:eastAsia="Calibri"/>
              </w:rPr>
              <w:t>1.2.</w:t>
            </w:r>
          </w:p>
        </w:tc>
        <w:tc>
          <w:tcPr>
            <w:tcW w:w="3669" w:type="dxa"/>
            <w:shd w:val="clear" w:color="auto" w:fill="auto"/>
          </w:tcPr>
          <w:p w:rsidR="000B20B3" w:rsidRDefault="000B20B3" w:rsidP="00775426">
            <w:pPr>
              <w:rPr>
                <w:rFonts w:eastAsia="Calibri"/>
              </w:rPr>
            </w:pPr>
            <w:r>
              <w:rPr>
                <w:rFonts w:eastAsia="Calibri"/>
              </w:rPr>
              <w:t>No 25.05.2022. (</w:t>
            </w:r>
            <w:proofErr w:type="spellStart"/>
            <w:r>
              <w:rPr>
                <w:rFonts w:eastAsia="Calibri"/>
              </w:rPr>
              <w:t>max</w:t>
            </w:r>
            <w:proofErr w:type="spellEnd"/>
            <w:r>
              <w:rPr>
                <w:rFonts w:eastAsia="Calibri"/>
              </w:rPr>
              <w:t xml:space="preserve"> 120 dienas)</w:t>
            </w:r>
          </w:p>
        </w:tc>
        <w:tc>
          <w:tcPr>
            <w:tcW w:w="1464" w:type="dxa"/>
            <w:shd w:val="clear" w:color="auto" w:fill="auto"/>
          </w:tcPr>
          <w:p w:rsidR="000B20B3" w:rsidRDefault="000B20B3" w:rsidP="00775426">
            <w:pPr>
              <w:rPr>
                <w:rFonts w:eastAsia="Calibri"/>
              </w:rPr>
            </w:pPr>
            <w:r>
              <w:rPr>
                <w:rFonts w:eastAsia="Calibri"/>
              </w:rPr>
              <w:t>1 personai diennaktī</w:t>
            </w:r>
          </w:p>
        </w:tc>
        <w:tc>
          <w:tcPr>
            <w:tcW w:w="1324" w:type="dxa"/>
            <w:shd w:val="clear" w:color="auto" w:fill="auto"/>
          </w:tcPr>
          <w:p w:rsidR="000B20B3" w:rsidRDefault="000B20B3" w:rsidP="00775426">
            <w:pPr>
              <w:rPr>
                <w:rFonts w:eastAsia="Calibri"/>
              </w:rPr>
            </w:pPr>
            <w:r>
              <w:rPr>
                <w:rFonts w:eastAsia="Calibri"/>
              </w:rPr>
              <w:t>12,40</w:t>
            </w:r>
          </w:p>
        </w:tc>
        <w:tc>
          <w:tcPr>
            <w:tcW w:w="938" w:type="dxa"/>
            <w:shd w:val="clear" w:color="auto" w:fill="auto"/>
          </w:tcPr>
          <w:p w:rsidR="000B20B3" w:rsidRDefault="000B20B3" w:rsidP="00775426">
            <w:pPr>
              <w:rPr>
                <w:rFonts w:eastAsia="Calibri"/>
              </w:rPr>
            </w:pPr>
            <w:r>
              <w:rPr>
                <w:rFonts w:eastAsia="Calibri"/>
              </w:rPr>
              <w:t>2,60</w:t>
            </w:r>
          </w:p>
        </w:tc>
        <w:tc>
          <w:tcPr>
            <w:tcW w:w="922" w:type="dxa"/>
            <w:shd w:val="clear" w:color="auto" w:fill="auto"/>
          </w:tcPr>
          <w:p w:rsidR="000B20B3" w:rsidRDefault="000B20B3" w:rsidP="00775426">
            <w:pPr>
              <w:rPr>
                <w:rFonts w:eastAsia="Calibri"/>
              </w:rPr>
            </w:pPr>
            <w:r>
              <w:rPr>
                <w:rFonts w:eastAsia="Calibri"/>
              </w:rPr>
              <w:t>15,00</w:t>
            </w:r>
          </w:p>
        </w:tc>
      </w:tr>
      <w:tr w:rsidR="000B20B3" w:rsidRPr="00D46F81" w:rsidTr="00775426">
        <w:tc>
          <w:tcPr>
            <w:tcW w:w="756" w:type="dxa"/>
            <w:shd w:val="clear" w:color="auto" w:fill="auto"/>
          </w:tcPr>
          <w:p w:rsidR="000B20B3" w:rsidRDefault="000B20B3" w:rsidP="00775426">
            <w:pPr>
              <w:rPr>
                <w:rFonts w:eastAsia="Calibri"/>
              </w:rPr>
            </w:pPr>
            <w:r>
              <w:rPr>
                <w:rFonts w:eastAsia="Calibri"/>
              </w:rPr>
              <w:t>1.3.</w:t>
            </w:r>
          </w:p>
        </w:tc>
        <w:tc>
          <w:tcPr>
            <w:tcW w:w="3669" w:type="dxa"/>
            <w:shd w:val="clear" w:color="auto" w:fill="auto"/>
          </w:tcPr>
          <w:p w:rsidR="000B20B3" w:rsidRDefault="000B20B3" w:rsidP="00775426">
            <w:pPr>
              <w:rPr>
                <w:rFonts w:eastAsia="Calibri"/>
              </w:rPr>
            </w:pPr>
            <w:r>
              <w:rPr>
                <w:rFonts w:eastAsia="Calibri"/>
              </w:rPr>
              <w:t xml:space="preserve">No </w:t>
            </w:r>
            <w:r>
              <w:rPr>
                <w:rFonts w:eastAsia="Calibri"/>
              </w:rPr>
              <w:t>01</w:t>
            </w:r>
            <w:r>
              <w:rPr>
                <w:rFonts w:eastAsia="Calibri"/>
              </w:rPr>
              <w:t>.07.2022. (</w:t>
            </w:r>
            <w:proofErr w:type="spellStart"/>
            <w:r>
              <w:rPr>
                <w:rFonts w:eastAsia="Calibri"/>
              </w:rPr>
              <w:t>max</w:t>
            </w:r>
            <w:proofErr w:type="spellEnd"/>
            <w:r>
              <w:rPr>
                <w:rFonts w:eastAsia="Calibri"/>
              </w:rPr>
              <w:t xml:space="preserve"> 120 dienas)</w:t>
            </w:r>
          </w:p>
        </w:tc>
        <w:tc>
          <w:tcPr>
            <w:tcW w:w="1464" w:type="dxa"/>
            <w:shd w:val="clear" w:color="auto" w:fill="auto"/>
          </w:tcPr>
          <w:p w:rsidR="000B20B3" w:rsidRDefault="000B20B3" w:rsidP="00775426">
            <w:pPr>
              <w:rPr>
                <w:rFonts w:eastAsia="Calibri"/>
              </w:rPr>
            </w:pPr>
          </w:p>
        </w:tc>
        <w:tc>
          <w:tcPr>
            <w:tcW w:w="1324" w:type="dxa"/>
            <w:shd w:val="clear" w:color="auto" w:fill="auto"/>
          </w:tcPr>
          <w:p w:rsidR="000B20B3" w:rsidRDefault="000B20B3" w:rsidP="00775426">
            <w:pPr>
              <w:rPr>
                <w:rFonts w:eastAsia="Calibri"/>
              </w:rPr>
            </w:pPr>
          </w:p>
        </w:tc>
        <w:tc>
          <w:tcPr>
            <w:tcW w:w="938" w:type="dxa"/>
            <w:shd w:val="clear" w:color="auto" w:fill="auto"/>
          </w:tcPr>
          <w:p w:rsidR="000B20B3" w:rsidRDefault="000B20B3" w:rsidP="00775426">
            <w:pPr>
              <w:rPr>
                <w:rFonts w:eastAsia="Calibri"/>
              </w:rPr>
            </w:pPr>
          </w:p>
        </w:tc>
        <w:tc>
          <w:tcPr>
            <w:tcW w:w="922" w:type="dxa"/>
            <w:shd w:val="clear" w:color="auto" w:fill="auto"/>
          </w:tcPr>
          <w:p w:rsidR="000B20B3" w:rsidRDefault="000B20B3" w:rsidP="00775426">
            <w:pPr>
              <w:rPr>
                <w:rFonts w:eastAsia="Calibri"/>
              </w:rPr>
            </w:pPr>
          </w:p>
        </w:tc>
      </w:tr>
      <w:tr w:rsidR="000B20B3" w:rsidRPr="00D46F81" w:rsidTr="00775426">
        <w:tc>
          <w:tcPr>
            <w:tcW w:w="756" w:type="dxa"/>
            <w:shd w:val="clear" w:color="auto" w:fill="auto"/>
          </w:tcPr>
          <w:p w:rsidR="000B20B3" w:rsidRDefault="000B20B3" w:rsidP="00775426">
            <w:pPr>
              <w:rPr>
                <w:rFonts w:eastAsia="Calibri"/>
              </w:rPr>
            </w:pPr>
          </w:p>
        </w:tc>
        <w:tc>
          <w:tcPr>
            <w:tcW w:w="3669" w:type="dxa"/>
            <w:shd w:val="clear" w:color="auto" w:fill="auto"/>
          </w:tcPr>
          <w:p w:rsidR="000B20B3" w:rsidRDefault="000B20B3" w:rsidP="00775426">
            <w:pPr>
              <w:rPr>
                <w:rFonts w:eastAsia="Calibri"/>
              </w:rPr>
            </w:pPr>
            <w:r>
              <w:rPr>
                <w:rFonts w:eastAsia="Calibri"/>
              </w:rPr>
              <w:t>Ja istabiņā ir līdz 3 personām</w:t>
            </w:r>
          </w:p>
        </w:tc>
        <w:tc>
          <w:tcPr>
            <w:tcW w:w="1464" w:type="dxa"/>
            <w:shd w:val="clear" w:color="auto" w:fill="auto"/>
          </w:tcPr>
          <w:p w:rsidR="000B20B3" w:rsidRDefault="000B20B3" w:rsidP="00775426">
            <w:pPr>
              <w:rPr>
                <w:rFonts w:eastAsia="Calibri"/>
              </w:rPr>
            </w:pPr>
          </w:p>
        </w:tc>
        <w:tc>
          <w:tcPr>
            <w:tcW w:w="1324" w:type="dxa"/>
            <w:shd w:val="clear" w:color="auto" w:fill="auto"/>
          </w:tcPr>
          <w:p w:rsidR="000B20B3" w:rsidRDefault="000B20B3" w:rsidP="00775426">
            <w:pPr>
              <w:rPr>
                <w:rFonts w:eastAsia="Calibri"/>
              </w:rPr>
            </w:pPr>
          </w:p>
        </w:tc>
        <w:tc>
          <w:tcPr>
            <w:tcW w:w="938" w:type="dxa"/>
            <w:shd w:val="clear" w:color="auto" w:fill="auto"/>
          </w:tcPr>
          <w:p w:rsidR="000B20B3" w:rsidRDefault="000B20B3" w:rsidP="00775426">
            <w:pPr>
              <w:rPr>
                <w:rFonts w:eastAsia="Calibri"/>
              </w:rPr>
            </w:pPr>
          </w:p>
        </w:tc>
        <w:tc>
          <w:tcPr>
            <w:tcW w:w="922" w:type="dxa"/>
            <w:shd w:val="clear" w:color="auto" w:fill="auto"/>
          </w:tcPr>
          <w:p w:rsidR="000B20B3" w:rsidRDefault="000B20B3" w:rsidP="00775426">
            <w:pPr>
              <w:rPr>
                <w:rFonts w:eastAsia="Calibri"/>
              </w:rPr>
            </w:pPr>
          </w:p>
        </w:tc>
      </w:tr>
      <w:tr w:rsidR="000B20B3" w:rsidRPr="00D46F81" w:rsidTr="00775426">
        <w:tc>
          <w:tcPr>
            <w:tcW w:w="756" w:type="dxa"/>
            <w:shd w:val="clear" w:color="auto" w:fill="auto"/>
          </w:tcPr>
          <w:p w:rsidR="000B20B3" w:rsidRDefault="000B20B3" w:rsidP="00775426">
            <w:pPr>
              <w:rPr>
                <w:rFonts w:eastAsia="Calibri"/>
              </w:rPr>
            </w:pPr>
            <w:r>
              <w:rPr>
                <w:rFonts w:eastAsia="Calibri"/>
              </w:rPr>
              <w:t>1.3.1.</w:t>
            </w:r>
          </w:p>
        </w:tc>
        <w:tc>
          <w:tcPr>
            <w:tcW w:w="3669" w:type="dxa"/>
            <w:shd w:val="clear" w:color="auto" w:fill="auto"/>
          </w:tcPr>
          <w:p w:rsidR="000B20B3" w:rsidRDefault="000B20B3" w:rsidP="00775426">
            <w:pPr>
              <w:rPr>
                <w:rFonts w:eastAsia="Calibri"/>
              </w:rPr>
            </w:pPr>
          </w:p>
        </w:tc>
        <w:tc>
          <w:tcPr>
            <w:tcW w:w="1464" w:type="dxa"/>
            <w:shd w:val="clear" w:color="auto" w:fill="auto"/>
          </w:tcPr>
          <w:p w:rsidR="000B20B3" w:rsidRDefault="000B20B3" w:rsidP="00775426">
            <w:pPr>
              <w:rPr>
                <w:rFonts w:eastAsia="Calibri"/>
              </w:rPr>
            </w:pPr>
            <w:r>
              <w:rPr>
                <w:rFonts w:eastAsia="Calibri"/>
              </w:rPr>
              <w:t>1 personai mēnesī</w:t>
            </w:r>
          </w:p>
        </w:tc>
        <w:tc>
          <w:tcPr>
            <w:tcW w:w="1324" w:type="dxa"/>
            <w:shd w:val="clear" w:color="auto" w:fill="auto"/>
          </w:tcPr>
          <w:p w:rsidR="000B20B3" w:rsidRDefault="000B20B3" w:rsidP="00775426">
            <w:pPr>
              <w:rPr>
                <w:rFonts w:eastAsia="Calibri"/>
              </w:rPr>
            </w:pPr>
            <w:r>
              <w:rPr>
                <w:rFonts w:eastAsia="Calibri"/>
              </w:rPr>
              <w:t>82,65</w:t>
            </w:r>
          </w:p>
        </w:tc>
        <w:tc>
          <w:tcPr>
            <w:tcW w:w="938" w:type="dxa"/>
            <w:shd w:val="clear" w:color="auto" w:fill="auto"/>
          </w:tcPr>
          <w:p w:rsidR="000B20B3" w:rsidRDefault="000B20B3" w:rsidP="00775426">
            <w:pPr>
              <w:rPr>
                <w:rFonts w:eastAsia="Calibri"/>
              </w:rPr>
            </w:pPr>
            <w:r>
              <w:rPr>
                <w:rFonts w:eastAsia="Calibri"/>
              </w:rPr>
              <w:t>17,35</w:t>
            </w:r>
          </w:p>
        </w:tc>
        <w:tc>
          <w:tcPr>
            <w:tcW w:w="922" w:type="dxa"/>
            <w:shd w:val="clear" w:color="auto" w:fill="auto"/>
          </w:tcPr>
          <w:p w:rsidR="000B20B3" w:rsidRDefault="000B20B3" w:rsidP="00775426">
            <w:pPr>
              <w:rPr>
                <w:rFonts w:eastAsia="Calibri"/>
              </w:rPr>
            </w:pPr>
            <w:r>
              <w:rPr>
                <w:rFonts w:eastAsia="Calibri"/>
              </w:rPr>
              <w:t>100,00</w:t>
            </w:r>
          </w:p>
        </w:tc>
      </w:tr>
      <w:tr w:rsidR="000B20B3" w:rsidRPr="00D46F81" w:rsidTr="00775426">
        <w:tc>
          <w:tcPr>
            <w:tcW w:w="756" w:type="dxa"/>
            <w:shd w:val="clear" w:color="auto" w:fill="auto"/>
          </w:tcPr>
          <w:p w:rsidR="000B20B3" w:rsidRDefault="000B20B3" w:rsidP="00775426">
            <w:pPr>
              <w:rPr>
                <w:rFonts w:eastAsia="Calibri"/>
              </w:rPr>
            </w:pPr>
            <w:r>
              <w:rPr>
                <w:rFonts w:eastAsia="Calibri"/>
              </w:rPr>
              <w:t>1.3.2.</w:t>
            </w:r>
          </w:p>
        </w:tc>
        <w:tc>
          <w:tcPr>
            <w:tcW w:w="3669" w:type="dxa"/>
            <w:shd w:val="clear" w:color="auto" w:fill="auto"/>
          </w:tcPr>
          <w:p w:rsidR="000B20B3" w:rsidRDefault="000B20B3" w:rsidP="00775426">
            <w:pPr>
              <w:rPr>
                <w:rFonts w:eastAsia="Calibri"/>
              </w:rPr>
            </w:pPr>
          </w:p>
        </w:tc>
        <w:tc>
          <w:tcPr>
            <w:tcW w:w="1464" w:type="dxa"/>
            <w:shd w:val="clear" w:color="auto" w:fill="auto"/>
          </w:tcPr>
          <w:p w:rsidR="000B20B3" w:rsidRDefault="000B20B3" w:rsidP="00775426">
            <w:pPr>
              <w:rPr>
                <w:rFonts w:eastAsia="Calibri"/>
              </w:rPr>
            </w:pPr>
            <w:r>
              <w:rPr>
                <w:rFonts w:eastAsia="Calibri"/>
              </w:rPr>
              <w:t>1 personai diennaktī</w:t>
            </w:r>
          </w:p>
        </w:tc>
        <w:tc>
          <w:tcPr>
            <w:tcW w:w="1324" w:type="dxa"/>
            <w:shd w:val="clear" w:color="auto" w:fill="auto"/>
          </w:tcPr>
          <w:p w:rsidR="000B20B3" w:rsidRDefault="000B20B3" w:rsidP="00775426">
            <w:pPr>
              <w:rPr>
                <w:rFonts w:eastAsia="Calibri"/>
              </w:rPr>
            </w:pPr>
            <w:r>
              <w:rPr>
                <w:rFonts w:eastAsia="Calibri"/>
              </w:rPr>
              <w:t>2,75</w:t>
            </w:r>
          </w:p>
        </w:tc>
        <w:tc>
          <w:tcPr>
            <w:tcW w:w="938" w:type="dxa"/>
            <w:shd w:val="clear" w:color="auto" w:fill="auto"/>
          </w:tcPr>
          <w:p w:rsidR="000B20B3" w:rsidRDefault="000B20B3" w:rsidP="00775426">
            <w:pPr>
              <w:rPr>
                <w:rFonts w:eastAsia="Calibri"/>
              </w:rPr>
            </w:pPr>
            <w:r>
              <w:rPr>
                <w:rFonts w:eastAsia="Calibri"/>
              </w:rPr>
              <w:t>0,58</w:t>
            </w:r>
          </w:p>
        </w:tc>
        <w:tc>
          <w:tcPr>
            <w:tcW w:w="922" w:type="dxa"/>
            <w:shd w:val="clear" w:color="auto" w:fill="auto"/>
          </w:tcPr>
          <w:p w:rsidR="000B20B3" w:rsidRDefault="000B20B3" w:rsidP="00775426">
            <w:pPr>
              <w:rPr>
                <w:rFonts w:eastAsia="Calibri"/>
              </w:rPr>
            </w:pPr>
            <w:r>
              <w:rPr>
                <w:rFonts w:eastAsia="Calibri"/>
              </w:rPr>
              <w:t>3,33</w:t>
            </w:r>
          </w:p>
        </w:tc>
      </w:tr>
      <w:tr w:rsidR="000B20B3" w:rsidRPr="00D46F81" w:rsidTr="00775426">
        <w:tc>
          <w:tcPr>
            <w:tcW w:w="756" w:type="dxa"/>
            <w:shd w:val="clear" w:color="auto" w:fill="auto"/>
          </w:tcPr>
          <w:p w:rsidR="000B20B3" w:rsidRDefault="000B20B3" w:rsidP="00775426">
            <w:pPr>
              <w:rPr>
                <w:rFonts w:eastAsia="Calibri"/>
              </w:rPr>
            </w:pPr>
          </w:p>
        </w:tc>
        <w:tc>
          <w:tcPr>
            <w:tcW w:w="3669" w:type="dxa"/>
            <w:shd w:val="clear" w:color="auto" w:fill="auto"/>
          </w:tcPr>
          <w:p w:rsidR="000B20B3" w:rsidRDefault="000B20B3" w:rsidP="00775426">
            <w:pPr>
              <w:rPr>
                <w:rFonts w:eastAsia="Calibri"/>
              </w:rPr>
            </w:pPr>
            <w:r>
              <w:rPr>
                <w:rFonts w:eastAsia="Calibri"/>
              </w:rPr>
              <w:t>Ja istabiņā ir sākot ar 4 personām</w:t>
            </w:r>
          </w:p>
        </w:tc>
        <w:tc>
          <w:tcPr>
            <w:tcW w:w="1464" w:type="dxa"/>
            <w:shd w:val="clear" w:color="auto" w:fill="auto"/>
          </w:tcPr>
          <w:p w:rsidR="000B20B3" w:rsidRDefault="000B20B3" w:rsidP="00775426">
            <w:pPr>
              <w:rPr>
                <w:rFonts w:eastAsia="Calibri"/>
              </w:rPr>
            </w:pPr>
          </w:p>
        </w:tc>
        <w:tc>
          <w:tcPr>
            <w:tcW w:w="1324" w:type="dxa"/>
            <w:shd w:val="clear" w:color="auto" w:fill="auto"/>
          </w:tcPr>
          <w:p w:rsidR="000B20B3" w:rsidRDefault="000B20B3" w:rsidP="00775426">
            <w:pPr>
              <w:rPr>
                <w:rFonts w:eastAsia="Calibri"/>
              </w:rPr>
            </w:pPr>
          </w:p>
        </w:tc>
        <w:tc>
          <w:tcPr>
            <w:tcW w:w="938" w:type="dxa"/>
            <w:shd w:val="clear" w:color="auto" w:fill="auto"/>
          </w:tcPr>
          <w:p w:rsidR="000B20B3" w:rsidRDefault="000B20B3" w:rsidP="00775426">
            <w:pPr>
              <w:rPr>
                <w:rFonts w:eastAsia="Calibri"/>
              </w:rPr>
            </w:pPr>
          </w:p>
        </w:tc>
        <w:tc>
          <w:tcPr>
            <w:tcW w:w="922" w:type="dxa"/>
            <w:shd w:val="clear" w:color="auto" w:fill="auto"/>
          </w:tcPr>
          <w:p w:rsidR="000B20B3" w:rsidRDefault="000B20B3" w:rsidP="00775426">
            <w:pPr>
              <w:rPr>
                <w:rFonts w:eastAsia="Calibri"/>
              </w:rPr>
            </w:pPr>
          </w:p>
        </w:tc>
      </w:tr>
      <w:tr w:rsidR="000B20B3" w:rsidRPr="00D46F81" w:rsidTr="00775426">
        <w:tc>
          <w:tcPr>
            <w:tcW w:w="756" w:type="dxa"/>
            <w:shd w:val="clear" w:color="auto" w:fill="auto"/>
          </w:tcPr>
          <w:p w:rsidR="000B20B3" w:rsidRDefault="000B20B3" w:rsidP="00775426">
            <w:pPr>
              <w:rPr>
                <w:rFonts w:eastAsia="Calibri"/>
              </w:rPr>
            </w:pPr>
            <w:r>
              <w:rPr>
                <w:rFonts w:eastAsia="Calibri"/>
              </w:rPr>
              <w:t>1.3.1.</w:t>
            </w:r>
          </w:p>
        </w:tc>
        <w:tc>
          <w:tcPr>
            <w:tcW w:w="3669" w:type="dxa"/>
            <w:shd w:val="clear" w:color="auto" w:fill="auto"/>
          </w:tcPr>
          <w:p w:rsidR="000B20B3" w:rsidRDefault="000B20B3" w:rsidP="00775426">
            <w:pPr>
              <w:rPr>
                <w:rFonts w:eastAsia="Calibri"/>
              </w:rPr>
            </w:pPr>
          </w:p>
        </w:tc>
        <w:tc>
          <w:tcPr>
            <w:tcW w:w="1464" w:type="dxa"/>
            <w:shd w:val="clear" w:color="auto" w:fill="auto"/>
          </w:tcPr>
          <w:p w:rsidR="000B20B3" w:rsidRDefault="000B20B3" w:rsidP="00775426">
            <w:pPr>
              <w:rPr>
                <w:rFonts w:eastAsia="Calibri"/>
              </w:rPr>
            </w:pPr>
            <w:r>
              <w:rPr>
                <w:rFonts w:eastAsia="Calibri"/>
              </w:rPr>
              <w:t>4. un katrai nākamajai personai mēnesī</w:t>
            </w:r>
          </w:p>
        </w:tc>
        <w:tc>
          <w:tcPr>
            <w:tcW w:w="1324" w:type="dxa"/>
            <w:shd w:val="clear" w:color="auto" w:fill="auto"/>
          </w:tcPr>
          <w:p w:rsidR="000B20B3" w:rsidRDefault="000B20B3" w:rsidP="00775426">
            <w:pPr>
              <w:rPr>
                <w:rFonts w:eastAsia="Calibri"/>
              </w:rPr>
            </w:pPr>
            <w:r>
              <w:rPr>
                <w:rFonts w:eastAsia="Calibri"/>
              </w:rPr>
              <w:t>41,32</w:t>
            </w:r>
          </w:p>
        </w:tc>
        <w:tc>
          <w:tcPr>
            <w:tcW w:w="938" w:type="dxa"/>
            <w:shd w:val="clear" w:color="auto" w:fill="auto"/>
          </w:tcPr>
          <w:p w:rsidR="000B20B3" w:rsidRDefault="000B20B3" w:rsidP="00775426">
            <w:pPr>
              <w:rPr>
                <w:rFonts w:eastAsia="Calibri"/>
              </w:rPr>
            </w:pPr>
            <w:r>
              <w:rPr>
                <w:rFonts w:eastAsia="Calibri"/>
              </w:rPr>
              <w:t>8,68</w:t>
            </w:r>
          </w:p>
        </w:tc>
        <w:tc>
          <w:tcPr>
            <w:tcW w:w="922" w:type="dxa"/>
            <w:shd w:val="clear" w:color="auto" w:fill="auto"/>
          </w:tcPr>
          <w:p w:rsidR="000B20B3" w:rsidRDefault="000B20B3" w:rsidP="00775426">
            <w:pPr>
              <w:rPr>
                <w:rFonts w:eastAsia="Calibri"/>
              </w:rPr>
            </w:pPr>
            <w:r>
              <w:rPr>
                <w:rFonts w:eastAsia="Calibri"/>
              </w:rPr>
              <w:t>50,00</w:t>
            </w:r>
          </w:p>
        </w:tc>
      </w:tr>
      <w:tr w:rsidR="000B20B3" w:rsidRPr="00D46F81" w:rsidTr="00775426">
        <w:tc>
          <w:tcPr>
            <w:tcW w:w="756" w:type="dxa"/>
            <w:shd w:val="clear" w:color="auto" w:fill="auto"/>
          </w:tcPr>
          <w:p w:rsidR="000B20B3" w:rsidRDefault="000B20B3" w:rsidP="00775426">
            <w:pPr>
              <w:rPr>
                <w:rFonts w:eastAsia="Calibri"/>
              </w:rPr>
            </w:pPr>
            <w:r>
              <w:rPr>
                <w:rFonts w:eastAsia="Calibri"/>
              </w:rPr>
              <w:t>1.3.2.</w:t>
            </w:r>
          </w:p>
        </w:tc>
        <w:tc>
          <w:tcPr>
            <w:tcW w:w="3669" w:type="dxa"/>
            <w:shd w:val="clear" w:color="auto" w:fill="auto"/>
          </w:tcPr>
          <w:p w:rsidR="000B20B3" w:rsidRDefault="000B20B3" w:rsidP="00775426">
            <w:pPr>
              <w:rPr>
                <w:rFonts w:eastAsia="Calibri"/>
              </w:rPr>
            </w:pPr>
          </w:p>
        </w:tc>
        <w:tc>
          <w:tcPr>
            <w:tcW w:w="1464" w:type="dxa"/>
            <w:shd w:val="clear" w:color="auto" w:fill="auto"/>
          </w:tcPr>
          <w:p w:rsidR="000B20B3" w:rsidRDefault="000B20B3" w:rsidP="00775426">
            <w:pPr>
              <w:rPr>
                <w:rFonts w:eastAsia="Calibri"/>
              </w:rPr>
            </w:pPr>
            <w:r>
              <w:rPr>
                <w:rFonts w:eastAsia="Calibri"/>
              </w:rPr>
              <w:t>4. un katrai nākamajai personai diennaktī</w:t>
            </w:r>
          </w:p>
        </w:tc>
        <w:tc>
          <w:tcPr>
            <w:tcW w:w="1324" w:type="dxa"/>
            <w:shd w:val="clear" w:color="auto" w:fill="auto"/>
          </w:tcPr>
          <w:p w:rsidR="000B20B3" w:rsidRDefault="000B20B3" w:rsidP="00775426">
            <w:pPr>
              <w:rPr>
                <w:rFonts w:eastAsia="Calibri"/>
              </w:rPr>
            </w:pPr>
            <w:r>
              <w:rPr>
                <w:rFonts w:eastAsia="Calibri"/>
              </w:rPr>
              <w:t>1,38</w:t>
            </w:r>
          </w:p>
        </w:tc>
        <w:tc>
          <w:tcPr>
            <w:tcW w:w="938" w:type="dxa"/>
            <w:shd w:val="clear" w:color="auto" w:fill="auto"/>
          </w:tcPr>
          <w:p w:rsidR="000B20B3" w:rsidRDefault="000B20B3" w:rsidP="00775426">
            <w:pPr>
              <w:rPr>
                <w:rFonts w:eastAsia="Calibri"/>
              </w:rPr>
            </w:pPr>
            <w:r>
              <w:rPr>
                <w:rFonts w:eastAsia="Calibri"/>
              </w:rPr>
              <w:t>0,29</w:t>
            </w:r>
          </w:p>
        </w:tc>
        <w:tc>
          <w:tcPr>
            <w:tcW w:w="922" w:type="dxa"/>
            <w:shd w:val="clear" w:color="auto" w:fill="auto"/>
          </w:tcPr>
          <w:p w:rsidR="000B20B3" w:rsidRDefault="000B20B3" w:rsidP="00775426">
            <w:pPr>
              <w:rPr>
                <w:rFonts w:eastAsia="Calibri"/>
              </w:rPr>
            </w:pPr>
            <w:r>
              <w:rPr>
                <w:rFonts w:eastAsia="Calibri"/>
              </w:rPr>
              <w:t>1,67</w:t>
            </w:r>
          </w:p>
        </w:tc>
      </w:tr>
      <w:tr w:rsidR="000B20B3" w:rsidRPr="00D46F81" w:rsidTr="00775426">
        <w:tc>
          <w:tcPr>
            <w:tcW w:w="756" w:type="dxa"/>
            <w:shd w:val="clear" w:color="auto" w:fill="auto"/>
          </w:tcPr>
          <w:p w:rsidR="000B20B3" w:rsidRDefault="000B20B3" w:rsidP="00775426">
            <w:pPr>
              <w:rPr>
                <w:rFonts w:eastAsia="Calibri"/>
                <w:b/>
                <w:bCs/>
              </w:rPr>
            </w:pPr>
            <w:r>
              <w:rPr>
                <w:rFonts w:eastAsia="Calibri"/>
                <w:b/>
                <w:bCs/>
              </w:rPr>
              <w:t>1.4.</w:t>
            </w:r>
          </w:p>
        </w:tc>
        <w:tc>
          <w:tcPr>
            <w:tcW w:w="3669" w:type="dxa"/>
            <w:shd w:val="clear" w:color="auto" w:fill="auto"/>
          </w:tcPr>
          <w:p w:rsidR="000B20B3" w:rsidRDefault="000B20B3" w:rsidP="00775426">
            <w:pPr>
              <w:rPr>
                <w:rFonts w:eastAsia="Calibri"/>
                <w:b/>
                <w:bCs/>
              </w:rPr>
            </w:pPr>
            <w:r>
              <w:rPr>
                <w:rFonts w:eastAsia="Calibri"/>
                <w:b/>
                <w:bCs/>
              </w:rPr>
              <w:t>Pēc 120 dienu termiņa beigām/ pēc valsts nodrošinātā atbalsta termiņa beigām</w:t>
            </w:r>
          </w:p>
        </w:tc>
        <w:tc>
          <w:tcPr>
            <w:tcW w:w="1464" w:type="dxa"/>
            <w:shd w:val="clear" w:color="auto" w:fill="auto"/>
          </w:tcPr>
          <w:p w:rsidR="000B20B3" w:rsidRDefault="000B20B3" w:rsidP="00775426">
            <w:pPr>
              <w:rPr>
                <w:rFonts w:eastAsia="Calibri"/>
                <w:b/>
                <w:bCs/>
              </w:rPr>
            </w:pPr>
            <w:r>
              <w:rPr>
                <w:rFonts w:eastAsia="Calibri"/>
                <w:b/>
                <w:bCs/>
              </w:rPr>
              <w:t>1 istaba diennaktī</w:t>
            </w:r>
          </w:p>
        </w:tc>
        <w:tc>
          <w:tcPr>
            <w:tcW w:w="1324" w:type="dxa"/>
            <w:shd w:val="clear" w:color="auto" w:fill="auto"/>
          </w:tcPr>
          <w:p w:rsidR="000B20B3" w:rsidRDefault="000B20B3" w:rsidP="00775426">
            <w:pPr>
              <w:rPr>
                <w:rFonts w:eastAsia="Calibri"/>
                <w:b/>
                <w:bCs/>
              </w:rPr>
            </w:pPr>
            <w:r>
              <w:rPr>
                <w:rFonts w:eastAsia="Calibri"/>
                <w:b/>
                <w:bCs/>
              </w:rPr>
              <w:t>4,96</w:t>
            </w:r>
          </w:p>
        </w:tc>
        <w:tc>
          <w:tcPr>
            <w:tcW w:w="938" w:type="dxa"/>
            <w:shd w:val="clear" w:color="auto" w:fill="auto"/>
          </w:tcPr>
          <w:p w:rsidR="000B20B3" w:rsidRDefault="000B20B3" w:rsidP="00775426">
            <w:pPr>
              <w:rPr>
                <w:rFonts w:eastAsia="Calibri"/>
                <w:b/>
                <w:bCs/>
              </w:rPr>
            </w:pPr>
            <w:r>
              <w:rPr>
                <w:rFonts w:eastAsia="Calibri"/>
                <w:b/>
                <w:bCs/>
              </w:rPr>
              <w:t>1,04</w:t>
            </w:r>
          </w:p>
        </w:tc>
        <w:tc>
          <w:tcPr>
            <w:tcW w:w="922" w:type="dxa"/>
            <w:shd w:val="clear" w:color="auto" w:fill="auto"/>
          </w:tcPr>
          <w:p w:rsidR="000B20B3" w:rsidRDefault="000B20B3" w:rsidP="00775426">
            <w:pPr>
              <w:rPr>
                <w:rFonts w:eastAsia="Calibri"/>
                <w:b/>
                <w:bCs/>
              </w:rPr>
            </w:pPr>
            <w:r>
              <w:rPr>
                <w:rFonts w:eastAsia="Calibri"/>
                <w:b/>
                <w:bCs/>
              </w:rPr>
              <w:t>6,00 *</w:t>
            </w:r>
          </w:p>
        </w:tc>
      </w:tr>
      <w:tr w:rsidR="000B20B3" w:rsidRPr="00D46F81" w:rsidTr="00775426">
        <w:tc>
          <w:tcPr>
            <w:tcW w:w="756" w:type="dxa"/>
            <w:shd w:val="clear" w:color="auto" w:fill="auto"/>
          </w:tcPr>
          <w:p w:rsidR="000B20B3" w:rsidRDefault="000B20B3" w:rsidP="00775426">
            <w:pPr>
              <w:rPr>
                <w:rFonts w:eastAsia="Calibri"/>
                <w:b/>
                <w:bCs/>
              </w:rPr>
            </w:pPr>
            <w:r>
              <w:rPr>
                <w:rFonts w:eastAsia="Calibri"/>
                <w:b/>
                <w:bCs/>
              </w:rPr>
              <w:t>2.</w:t>
            </w:r>
          </w:p>
        </w:tc>
        <w:tc>
          <w:tcPr>
            <w:tcW w:w="8317" w:type="dxa"/>
            <w:gridSpan w:val="5"/>
            <w:shd w:val="clear" w:color="auto" w:fill="auto"/>
          </w:tcPr>
          <w:p w:rsidR="000B20B3" w:rsidRDefault="000B20B3" w:rsidP="00775426">
            <w:pPr>
              <w:rPr>
                <w:rFonts w:eastAsia="Calibri"/>
                <w:b/>
                <w:bCs/>
              </w:rPr>
            </w:pPr>
            <w:r>
              <w:rPr>
                <w:rFonts w:eastAsia="Calibri"/>
                <w:b/>
                <w:bCs/>
              </w:rPr>
              <w:t xml:space="preserve">Ēdināšana </w:t>
            </w:r>
            <w:r w:rsidRPr="000B20B3">
              <w:rPr>
                <w:rFonts w:eastAsia="Calibri"/>
                <w:bCs/>
              </w:rPr>
              <w:t>(</w:t>
            </w:r>
            <w:r>
              <w:rPr>
                <w:rFonts w:eastAsia="Calibri"/>
              </w:rPr>
              <w:t>Ierodoties izmitināšanas vietā Madonas novada pašvaldības teritorijas iestādēs)</w:t>
            </w:r>
            <w:r>
              <w:rPr>
                <w:rFonts w:eastAsia="Calibri"/>
                <w:b/>
                <w:bCs/>
              </w:rPr>
              <w:t xml:space="preserve"> </w:t>
            </w:r>
          </w:p>
        </w:tc>
      </w:tr>
      <w:tr w:rsidR="000B20B3" w:rsidRPr="00D46F81" w:rsidTr="00775426">
        <w:tc>
          <w:tcPr>
            <w:tcW w:w="756" w:type="dxa"/>
            <w:shd w:val="clear" w:color="auto" w:fill="auto"/>
          </w:tcPr>
          <w:p w:rsidR="000B20B3" w:rsidRDefault="000B20B3" w:rsidP="00775426">
            <w:pPr>
              <w:rPr>
                <w:rFonts w:eastAsia="Calibri"/>
              </w:rPr>
            </w:pPr>
            <w:r>
              <w:rPr>
                <w:rFonts w:eastAsia="Calibri"/>
              </w:rPr>
              <w:t>2.1.</w:t>
            </w:r>
          </w:p>
        </w:tc>
        <w:tc>
          <w:tcPr>
            <w:tcW w:w="3669" w:type="dxa"/>
            <w:shd w:val="clear" w:color="auto" w:fill="auto"/>
          </w:tcPr>
          <w:p w:rsidR="000B20B3" w:rsidRDefault="000B20B3" w:rsidP="00775426">
            <w:pPr>
              <w:rPr>
                <w:rFonts w:eastAsia="Calibri"/>
              </w:rPr>
            </w:pPr>
            <w:r>
              <w:rPr>
                <w:rFonts w:eastAsia="Calibri"/>
              </w:rPr>
              <w:t>Līdz 24.05.2022. (ieskaitot) (</w:t>
            </w:r>
            <w:proofErr w:type="spellStart"/>
            <w:r>
              <w:rPr>
                <w:rFonts w:eastAsia="Calibri"/>
              </w:rPr>
              <w:t>max</w:t>
            </w:r>
            <w:proofErr w:type="spellEnd"/>
            <w:r>
              <w:rPr>
                <w:rFonts w:eastAsia="Calibri"/>
              </w:rPr>
              <w:t xml:space="preserve"> 120 dienas)</w:t>
            </w:r>
          </w:p>
        </w:tc>
        <w:tc>
          <w:tcPr>
            <w:tcW w:w="1464" w:type="dxa"/>
            <w:shd w:val="clear" w:color="auto" w:fill="auto"/>
          </w:tcPr>
          <w:p w:rsidR="000B20B3" w:rsidRDefault="000B20B3" w:rsidP="00775426">
            <w:pPr>
              <w:rPr>
                <w:rFonts w:eastAsia="Calibri"/>
              </w:rPr>
            </w:pPr>
            <w:r>
              <w:rPr>
                <w:rFonts w:eastAsia="Calibri"/>
              </w:rPr>
              <w:t>1 personai diennaktī</w:t>
            </w:r>
          </w:p>
        </w:tc>
        <w:tc>
          <w:tcPr>
            <w:tcW w:w="1324" w:type="dxa"/>
            <w:shd w:val="clear" w:color="auto" w:fill="auto"/>
            <w:vAlign w:val="bottom"/>
          </w:tcPr>
          <w:p w:rsidR="000B20B3" w:rsidRDefault="000B20B3" w:rsidP="00775426">
            <w:pPr>
              <w:rPr>
                <w:rFonts w:eastAsia="Calibri"/>
              </w:rPr>
            </w:pPr>
            <w:r>
              <w:rPr>
                <w:rFonts w:eastAsia="Calibri"/>
              </w:rPr>
              <w:t>7,73</w:t>
            </w:r>
          </w:p>
        </w:tc>
        <w:tc>
          <w:tcPr>
            <w:tcW w:w="938" w:type="dxa"/>
            <w:shd w:val="clear" w:color="auto" w:fill="auto"/>
            <w:vAlign w:val="bottom"/>
          </w:tcPr>
          <w:p w:rsidR="000B20B3" w:rsidRDefault="000B20B3" w:rsidP="00775426">
            <w:pPr>
              <w:rPr>
                <w:rFonts w:eastAsia="Calibri"/>
              </w:rPr>
            </w:pPr>
            <w:r>
              <w:rPr>
                <w:rFonts w:eastAsia="Calibri"/>
              </w:rPr>
              <w:t>1,62</w:t>
            </w:r>
          </w:p>
        </w:tc>
        <w:tc>
          <w:tcPr>
            <w:tcW w:w="922" w:type="dxa"/>
            <w:shd w:val="clear" w:color="auto" w:fill="auto"/>
            <w:vAlign w:val="bottom"/>
          </w:tcPr>
          <w:p w:rsidR="000B20B3" w:rsidRDefault="000B20B3" w:rsidP="00775426">
            <w:pPr>
              <w:rPr>
                <w:rFonts w:eastAsia="Calibri"/>
              </w:rPr>
            </w:pPr>
            <w:r>
              <w:rPr>
                <w:rFonts w:eastAsia="Calibri"/>
              </w:rPr>
              <w:t>9,35</w:t>
            </w:r>
          </w:p>
        </w:tc>
      </w:tr>
      <w:tr w:rsidR="000B20B3" w:rsidRPr="00D46F81" w:rsidTr="00775426">
        <w:tc>
          <w:tcPr>
            <w:tcW w:w="756" w:type="dxa"/>
            <w:shd w:val="clear" w:color="auto" w:fill="auto"/>
          </w:tcPr>
          <w:p w:rsidR="000B20B3" w:rsidRDefault="000B20B3" w:rsidP="00775426">
            <w:pPr>
              <w:rPr>
                <w:rFonts w:eastAsia="Calibri"/>
              </w:rPr>
            </w:pPr>
            <w:r>
              <w:rPr>
                <w:rFonts w:eastAsia="Calibri"/>
              </w:rPr>
              <w:t>2.1.1.</w:t>
            </w:r>
          </w:p>
        </w:tc>
        <w:tc>
          <w:tcPr>
            <w:tcW w:w="3669" w:type="dxa"/>
            <w:shd w:val="clear" w:color="auto" w:fill="auto"/>
          </w:tcPr>
          <w:p w:rsidR="000B20B3" w:rsidRDefault="000B20B3" w:rsidP="00775426">
            <w:pPr>
              <w:rPr>
                <w:rFonts w:eastAsia="Calibri"/>
              </w:rPr>
            </w:pPr>
            <w:r>
              <w:rPr>
                <w:rFonts w:eastAsia="Calibri"/>
              </w:rPr>
              <w:t>Brokastis</w:t>
            </w:r>
          </w:p>
        </w:tc>
        <w:tc>
          <w:tcPr>
            <w:tcW w:w="1464" w:type="dxa"/>
            <w:shd w:val="clear" w:color="auto" w:fill="auto"/>
          </w:tcPr>
          <w:p w:rsidR="000B20B3" w:rsidRDefault="000B20B3" w:rsidP="00775426">
            <w:pPr>
              <w:rPr>
                <w:rFonts w:eastAsia="Calibri"/>
              </w:rPr>
            </w:pPr>
            <w:r>
              <w:rPr>
                <w:rFonts w:eastAsia="Calibri"/>
              </w:rPr>
              <w:t>1 ēdienreize</w:t>
            </w:r>
          </w:p>
        </w:tc>
        <w:tc>
          <w:tcPr>
            <w:tcW w:w="1324" w:type="dxa"/>
            <w:shd w:val="clear" w:color="auto" w:fill="auto"/>
            <w:vAlign w:val="bottom"/>
          </w:tcPr>
          <w:p w:rsidR="000B20B3" w:rsidRDefault="000B20B3" w:rsidP="00775426">
            <w:pPr>
              <w:rPr>
                <w:rFonts w:eastAsia="Calibri"/>
              </w:rPr>
            </w:pPr>
            <w:r>
              <w:rPr>
                <w:rFonts w:eastAsia="Calibri"/>
              </w:rPr>
              <w:t>1,97</w:t>
            </w:r>
          </w:p>
        </w:tc>
        <w:tc>
          <w:tcPr>
            <w:tcW w:w="938" w:type="dxa"/>
            <w:shd w:val="clear" w:color="auto" w:fill="auto"/>
            <w:vAlign w:val="bottom"/>
          </w:tcPr>
          <w:p w:rsidR="000B20B3" w:rsidRDefault="000B20B3" w:rsidP="00775426">
            <w:pPr>
              <w:rPr>
                <w:rFonts w:eastAsia="Calibri"/>
              </w:rPr>
            </w:pPr>
            <w:r>
              <w:rPr>
                <w:rFonts w:eastAsia="Calibri"/>
              </w:rPr>
              <w:t>0,41</w:t>
            </w:r>
          </w:p>
        </w:tc>
        <w:tc>
          <w:tcPr>
            <w:tcW w:w="922" w:type="dxa"/>
            <w:shd w:val="clear" w:color="auto" w:fill="auto"/>
            <w:vAlign w:val="bottom"/>
          </w:tcPr>
          <w:p w:rsidR="000B20B3" w:rsidRDefault="000B20B3" w:rsidP="00775426">
            <w:pPr>
              <w:rPr>
                <w:rFonts w:eastAsia="Calibri"/>
              </w:rPr>
            </w:pPr>
            <w:r>
              <w:rPr>
                <w:rFonts w:eastAsia="Calibri"/>
              </w:rPr>
              <w:t>2,38</w:t>
            </w:r>
          </w:p>
        </w:tc>
      </w:tr>
      <w:tr w:rsidR="000B20B3" w:rsidRPr="00D46F81" w:rsidTr="00775426">
        <w:tc>
          <w:tcPr>
            <w:tcW w:w="756" w:type="dxa"/>
            <w:shd w:val="clear" w:color="auto" w:fill="auto"/>
          </w:tcPr>
          <w:p w:rsidR="000B20B3" w:rsidRDefault="000B20B3" w:rsidP="00775426">
            <w:pPr>
              <w:rPr>
                <w:rFonts w:eastAsia="Calibri"/>
              </w:rPr>
            </w:pPr>
            <w:r>
              <w:rPr>
                <w:rFonts w:eastAsia="Calibri"/>
              </w:rPr>
              <w:t>2.1.2.</w:t>
            </w:r>
          </w:p>
        </w:tc>
        <w:tc>
          <w:tcPr>
            <w:tcW w:w="3669" w:type="dxa"/>
            <w:shd w:val="clear" w:color="auto" w:fill="auto"/>
          </w:tcPr>
          <w:p w:rsidR="000B20B3" w:rsidRDefault="000B20B3" w:rsidP="00775426">
            <w:pPr>
              <w:rPr>
                <w:rFonts w:eastAsia="Calibri"/>
              </w:rPr>
            </w:pPr>
            <w:r>
              <w:rPr>
                <w:rFonts w:eastAsia="Calibri"/>
              </w:rPr>
              <w:t>Pusdienas</w:t>
            </w:r>
          </w:p>
        </w:tc>
        <w:tc>
          <w:tcPr>
            <w:tcW w:w="1464" w:type="dxa"/>
            <w:shd w:val="clear" w:color="auto" w:fill="auto"/>
          </w:tcPr>
          <w:p w:rsidR="000B20B3" w:rsidRDefault="000B20B3" w:rsidP="00775426">
            <w:pPr>
              <w:rPr>
                <w:rFonts w:eastAsia="Calibri"/>
              </w:rPr>
            </w:pPr>
            <w:r>
              <w:rPr>
                <w:rFonts w:eastAsia="Calibri"/>
              </w:rPr>
              <w:t>1 ēdienreize</w:t>
            </w:r>
          </w:p>
        </w:tc>
        <w:tc>
          <w:tcPr>
            <w:tcW w:w="1324" w:type="dxa"/>
            <w:shd w:val="clear" w:color="auto" w:fill="auto"/>
            <w:vAlign w:val="bottom"/>
          </w:tcPr>
          <w:p w:rsidR="000B20B3" w:rsidRDefault="000B20B3" w:rsidP="00775426">
            <w:pPr>
              <w:rPr>
                <w:rFonts w:eastAsia="Calibri"/>
              </w:rPr>
            </w:pPr>
            <w:r>
              <w:rPr>
                <w:rFonts w:eastAsia="Calibri"/>
              </w:rPr>
              <w:t>2,73</w:t>
            </w:r>
          </w:p>
        </w:tc>
        <w:tc>
          <w:tcPr>
            <w:tcW w:w="938" w:type="dxa"/>
            <w:shd w:val="clear" w:color="auto" w:fill="auto"/>
            <w:vAlign w:val="bottom"/>
          </w:tcPr>
          <w:p w:rsidR="000B20B3" w:rsidRDefault="000B20B3" w:rsidP="00775426">
            <w:pPr>
              <w:rPr>
                <w:rFonts w:eastAsia="Calibri"/>
              </w:rPr>
            </w:pPr>
            <w:r>
              <w:rPr>
                <w:rFonts w:eastAsia="Calibri"/>
              </w:rPr>
              <w:t>0,57</w:t>
            </w:r>
          </w:p>
        </w:tc>
        <w:tc>
          <w:tcPr>
            <w:tcW w:w="922" w:type="dxa"/>
            <w:shd w:val="clear" w:color="auto" w:fill="auto"/>
            <w:vAlign w:val="bottom"/>
          </w:tcPr>
          <w:p w:rsidR="000B20B3" w:rsidRDefault="000B20B3" w:rsidP="00775426">
            <w:pPr>
              <w:rPr>
                <w:rFonts w:eastAsia="Calibri"/>
              </w:rPr>
            </w:pPr>
            <w:r>
              <w:rPr>
                <w:rFonts w:eastAsia="Calibri"/>
              </w:rPr>
              <w:t>3,31</w:t>
            </w:r>
          </w:p>
        </w:tc>
      </w:tr>
      <w:tr w:rsidR="000B20B3" w:rsidRPr="00D46F81" w:rsidTr="00775426">
        <w:tc>
          <w:tcPr>
            <w:tcW w:w="756" w:type="dxa"/>
            <w:shd w:val="clear" w:color="auto" w:fill="auto"/>
          </w:tcPr>
          <w:p w:rsidR="000B20B3" w:rsidRDefault="000B20B3" w:rsidP="00775426">
            <w:pPr>
              <w:rPr>
                <w:rFonts w:eastAsia="Calibri"/>
              </w:rPr>
            </w:pPr>
            <w:r>
              <w:rPr>
                <w:rFonts w:eastAsia="Calibri"/>
              </w:rPr>
              <w:t>2.1.3.</w:t>
            </w:r>
          </w:p>
        </w:tc>
        <w:tc>
          <w:tcPr>
            <w:tcW w:w="3669" w:type="dxa"/>
            <w:shd w:val="clear" w:color="auto" w:fill="auto"/>
          </w:tcPr>
          <w:p w:rsidR="000B20B3" w:rsidRDefault="000B20B3" w:rsidP="00775426">
            <w:pPr>
              <w:rPr>
                <w:rFonts w:eastAsia="Calibri"/>
              </w:rPr>
            </w:pPr>
            <w:r>
              <w:rPr>
                <w:rFonts w:eastAsia="Calibri"/>
              </w:rPr>
              <w:t>Launags</w:t>
            </w:r>
          </w:p>
        </w:tc>
        <w:tc>
          <w:tcPr>
            <w:tcW w:w="1464" w:type="dxa"/>
            <w:shd w:val="clear" w:color="auto" w:fill="auto"/>
          </w:tcPr>
          <w:p w:rsidR="000B20B3" w:rsidRDefault="000B20B3" w:rsidP="00775426">
            <w:pPr>
              <w:rPr>
                <w:rFonts w:eastAsia="Calibri"/>
              </w:rPr>
            </w:pPr>
            <w:r>
              <w:rPr>
                <w:rFonts w:eastAsia="Calibri"/>
              </w:rPr>
              <w:t>1 ēdienreize</w:t>
            </w:r>
          </w:p>
        </w:tc>
        <w:tc>
          <w:tcPr>
            <w:tcW w:w="1324" w:type="dxa"/>
            <w:shd w:val="clear" w:color="auto" w:fill="auto"/>
            <w:vAlign w:val="bottom"/>
          </w:tcPr>
          <w:p w:rsidR="000B20B3" w:rsidRDefault="000B20B3" w:rsidP="00775426">
            <w:pPr>
              <w:rPr>
                <w:rFonts w:eastAsia="Calibri"/>
              </w:rPr>
            </w:pPr>
            <w:r>
              <w:rPr>
                <w:rFonts w:eastAsia="Calibri"/>
              </w:rPr>
              <w:t>1,45</w:t>
            </w:r>
          </w:p>
        </w:tc>
        <w:tc>
          <w:tcPr>
            <w:tcW w:w="938" w:type="dxa"/>
            <w:shd w:val="clear" w:color="auto" w:fill="auto"/>
            <w:vAlign w:val="bottom"/>
          </w:tcPr>
          <w:p w:rsidR="000B20B3" w:rsidRDefault="000B20B3" w:rsidP="00775426">
            <w:pPr>
              <w:rPr>
                <w:rFonts w:eastAsia="Calibri"/>
              </w:rPr>
            </w:pPr>
            <w:r>
              <w:rPr>
                <w:rFonts w:eastAsia="Calibri"/>
              </w:rPr>
              <w:t>0,30</w:t>
            </w:r>
          </w:p>
        </w:tc>
        <w:tc>
          <w:tcPr>
            <w:tcW w:w="922" w:type="dxa"/>
            <w:shd w:val="clear" w:color="auto" w:fill="auto"/>
            <w:vAlign w:val="bottom"/>
          </w:tcPr>
          <w:p w:rsidR="000B20B3" w:rsidRDefault="000B20B3" w:rsidP="00775426">
            <w:pPr>
              <w:rPr>
                <w:rFonts w:eastAsia="Calibri"/>
              </w:rPr>
            </w:pPr>
            <w:r>
              <w:rPr>
                <w:rFonts w:eastAsia="Calibri"/>
              </w:rPr>
              <w:t>1,75</w:t>
            </w:r>
          </w:p>
        </w:tc>
      </w:tr>
      <w:tr w:rsidR="000B20B3" w:rsidRPr="00D46F81" w:rsidTr="00775426">
        <w:tc>
          <w:tcPr>
            <w:tcW w:w="756" w:type="dxa"/>
            <w:shd w:val="clear" w:color="auto" w:fill="auto"/>
          </w:tcPr>
          <w:p w:rsidR="000B20B3" w:rsidRDefault="000B20B3" w:rsidP="00775426">
            <w:pPr>
              <w:rPr>
                <w:rFonts w:eastAsia="Calibri"/>
              </w:rPr>
            </w:pPr>
            <w:r>
              <w:rPr>
                <w:rFonts w:eastAsia="Calibri"/>
              </w:rPr>
              <w:t>2.1.4.</w:t>
            </w:r>
          </w:p>
        </w:tc>
        <w:tc>
          <w:tcPr>
            <w:tcW w:w="3669" w:type="dxa"/>
            <w:shd w:val="clear" w:color="auto" w:fill="auto"/>
          </w:tcPr>
          <w:p w:rsidR="000B20B3" w:rsidRDefault="000B20B3" w:rsidP="00775426">
            <w:pPr>
              <w:rPr>
                <w:rFonts w:eastAsia="Calibri"/>
              </w:rPr>
            </w:pPr>
            <w:r>
              <w:rPr>
                <w:rFonts w:eastAsia="Calibri"/>
              </w:rPr>
              <w:t>Vakariņas</w:t>
            </w:r>
          </w:p>
        </w:tc>
        <w:tc>
          <w:tcPr>
            <w:tcW w:w="1464" w:type="dxa"/>
            <w:shd w:val="clear" w:color="auto" w:fill="auto"/>
          </w:tcPr>
          <w:p w:rsidR="000B20B3" w:rsidRDefault="000B20B3" w:rsidP="00775426">
            <w:pPr>
              <w:rPr>
                <w:rFonts w:eastAsia="Calibri"/>
              </w:rPr>
            </w:pPr>
            <w:r>
              <w:rPr>
                <w:rFonts w:eastAsia="Calibri"/>
              </w:rPr>
              <w:t>1 ēdienreize</w:t>
            </w:r>
          </w:p>
        </w:tc>
        <w:tc>
          <w:tcPr>
            <w:tcW w:w="1324" w:type="dxa"/>
            <w:shd w:val="clear" w:color="auto" w:fill="auto"/>
            <w:vAlign w:val="bottom"/>
          </w:tcPr>
          <w:p w:rsidR="000B20B3" w:rsidRDefault="000B20B3" w:rsidP="00775426">
            <w:pPr>
              <w:rPr>
                <w:rFonts w:eastAsia="Calibri"/>
              </w:rPr>
            </w:pPr>
            <w:r>
              <w:rPr>
                <w:rFonts w:eastAsia="Calibri"/>
              </w:rPr>
              <w:t>1,58</w:t>
            </w:r>
          </w:p>
        </w:tc>
        <w:tc>
          <w:tcPr>
            <w:tcW w:w="938" w:type="dxa"/>
            <w:shd w:val="clear" w:color="auto" w:fill="auto"/>
            <w:vAlign w:val="bottom"/>
          </w:tcPr>
          <w:p w:rsidR="000B20B3" w:rsidRDefault="000B20B3" w:rsidP="00775426">
            <w:pPr>
              <w:rPr>
                <w:rFonts w:eastAsia="Calibri"/>
              </w:rPr>
            </w:pPr>
            <w:r>
              <w:rPr>
                <w:rFonts w:eastAsia="Calibri"/>
              </w:rPr>
              <w:t>0,33</w:t>
            </w:r>
          </w:p>
        </w:tc>
        <w:tc>
          <w:tcPr>
            <w:tcW w:w="922" w:type="dxa"/>
            <w:shd w:val="clear" w:color="auto" w:fill="auto"/>
            <w:vAlign w:val="bottom"/>
          </w:tcPr>
          <w:p w:rsidR="000B20B3" w:rsidRDefault="000B20B3" w:rsidP="00775426">
            <w:pPr>
              <w:rPr>
                <w:rFonts w:eastAsia="Calibri"/>
              </w:rPr>
            </w:pPr>
            <w:r>
              <w:rPr>
                <w:rFonts w:eastAsia="Calibri"/>
              </w:rPr>
              <w:t>1,92</w:t>
            </w:r>
          </w:p>
        </w:tc>
      </w:tr>
      <w:tr w:rsidR="000B20B3" w:rsidRPr="00D46F81" w:rsidTr="00775426">
        <w:tc>
          <w:tcPr>
            <w:tcW w:w="756" w:type="dxa"/>
            <w:shd w:val="clear" w:color="auto" w:fill="auto"/>
          </w:tcPr>
          <w:p w:rsidR="000B20B3" w:rsidRDefault="000B20B3" w:rsidP="00775426">
            <w:pPr>
              <w:rPr>
                <w:rFonts w:eastAsia="Calibri"/>
              </w:rPr>
            </w:pPr>
            <w:r>
              <w:rPr>
                <w:rFonts w:eastAsia="Calibri"/>
              </w:rPr>
              <w:t>2.2.</w:t>
            </w:r>
          </w:p>
        </w:tc>
        <w:tc>
          <w:tcPr>
            <w:tcW w:w="3669" w:type="dxa"/>
            <w:shd w:val="clear" w:color="auto" w:fill="auto"/>
          </w:tcPr>
          <w:p w:rsidR="000B20B3" w:rsidRDefault="000B20B3" w:rsidP="00775426">
            <w:pPr>
              <w:rPr>
                <w:rFonts w:eastAsia="Calibri"/>
              </w:rPr>
            </w:pPr>
            <w:r>
              <w:rPr>
                <w:rFonts w:eastAsia="Calibri"/>
              </w:rPr>
              <w:t>No 25.05.2022. (</w:t>
            </w:r>
            <w:proofErr w:type="spellStart"/>
            <w:r>
              <w:rPr>
                <w:rFonts w:eastAsia="Calibri"/>
              </w:rPr>
              <w:t>max</w:t>
            </w:r>
            <w:proofErr w:type="spellEnd"/>
            <w:r>
              <w:rPr>
                <w:rFonts w:eastAsia="Calibri"/>
              </w:rPr>
              <w:t xml:space="preserve"> 30 dienas)</w:t>
            </w:r>
          </w:p>
        </w:tc>
        <w:tc>
          <w:tcPr>
            <w:tcW w:w="1464" w:type="dxa"/>
            <w:shd w:val="clear" w:color="auto" w:fill="auto"/>
          </w:tcPr>
          <w:p w:rsidR="000B20B3" w:rsidRDefault="000B20B3" w:rsidP="00775426">
            <w:pPr>
              <w:rPr>
                <w:rFonts w:eastAsia="Calibri"/>
              </w:rPr>
            </w:pPr>
          </w:p>
        </w:tc>
        <w:tc>
          <w:tcPr>
            <w:tcW w:w="1324" w:type="dxa"/>
            <w:shd w:val="clear" w:color="auto" w:fill="auto"/>
            <w:vAlign w:val="bottom"/>
          </w:tcPr>
          <w:p w:rsidR="000B20B3" w:rsidRDefault="000B20B3" w:rsidP="00775426">
            <w:pPr>
              <w:rPr>
                <w:rFonts w:eastAsia="Calibri"/>
              </w:rPr>
            </w:pPr>
          </w:p>
        </w:tc>
        <w:tc>
          <w:tcPr>
            <w:tcW w:w="938" w:type="dxa"/>
            <w:shd w:val="clear" w:color="auto" w:fill="auto"/>
            <w:vAlign w:val="bottom"/>
          </w:tcPr>
          <w:p w:rsidR="000B20B3" w:rsidRDefault="000B20B3" w:rsidP="00775426">
            <w:pPr>
              <w:rPr>
                <w:rFonts w:eastAsia="Calibri"/>
              </w:rPr>
            </w:pPr>
          </w:p>
        </w:tc>
        <w:tc>
          <w:tcPr>
            <w:tcW w:w="922" w:type="dxa"/>
            <w:shd w:val="clear" w:color="auto" w:fill="auto"/>
            <w:vAlign w:val="bottom"/>
          </w:tcPr>
          <w:p w:rsidR="000B20B3" w:rsidRDefault="000B20B3" w:rsidP="00775426">
            <w:pPr>
              <w:rPr>
                <w:rFonts w:eastAsia="Calibri"/>
              </w:rPr>
            </w:pPr>
          </w:p>
        </w:tc>
      </w:tr>
      <w:tr w:rsidR="000B20B3" w:rsidRPr="00D46F81" w:rsidTr="00775426">
        <w:tc>
          <w:tcPr>
            <w:tcW w:w="756" w:type="dxa"/>
            <w:shd w:val="clear" w:color="auto" w:fill="auto"/>
          </w:tcPr>
          <w:p w:rsidR="000B20B3" w:rsidRDefault="000B20B3" w:rsidP="00775426">
            <w:pPr>
              <w:rPr>
                <w:rFonts w:eastAsia="Calibri"/>
              </w:rPr>
            </w:pPr>
            <w:r>
              <w:rPr>
                <w:rFonts w:eastAsia="Calibri"/>
              </w:rPr>
              <w:t>2.2.1.</w:t>
            </w:r>
          </w:p>
        </w:tc>
        <w:tc>
          <w:tcPr>
            <w:tcW w:w="3669" w:type="dxa"/>
            <w:shd w:val="clear" w:color="auto" w:fill="auto"/>
          </w:tcPr>
          <w:p w:rsidR="000B20B3" w:rsidRDefault="000B20B3" w:rsidP="00775426">
            <w:pPr>
              <w:rPr>
                <w:rFonts w:eastAsia="Calibri"/>
              </w:rPr>
            </w:pPr>
            <w:r>
              <w:rPr>
                <w:rFonts w:eastAsia="Calibri"/>
              </w:rPr>
              <w:t xml:space="preserve">Vienai personai </w:t>
            </w:r>
          </w:p>
        </w:tc>
        <w:tc>
          <w:tcPr>
            <w:tcW w:w="1464" w:type="dxa"/>
            <w:shd w:val="clear" w:color="auto" w:fill="auto"/>
          </w:tcPr>
          <w:p w:rsidR="000B20B3" w:rsidRDefault="000B20B3" w:rsidP="00775426">
            <w:pPr>
              <w:rPr>
                <w:rFonts w:eastAsia="Calibri"/>
              </w:rPr>
            </w:pPr>
            <w:r>
              <w:rPr>
                <w:rFonts w:eastAsia="Calibri"/>
              </w:rPr>
              <w:t>diennaktī</w:t>
            </w:r>
          </w:p>
        </w:tc>
        <w:tc>
          <w:tcPr>
            <w:tcW w:w="1324" w:type="dxa"/>
            <w:shd w:val="clear" w:color="auto" w:fill="auto"/>
            <w:vAlign w:val="bottom"/>
          </w:tcPr>
          <w:p w:rsidR="000B20B3" w:rsidRDefault="000B20B3" w:rsidP="00775426">
            <w:pPr>
              <w:rPr>
                <w:rFonts w:eastAsia="Calibri"/>
              </w:rPr>
            </w:pPr>
            <w:r>
              <w:rPr>
                <w:rFonts w:eastAsia="Calibri"/>
              </w:rPr>
              <w:t>7,73</w:t>
            </w:r>
          </w:p>
        </w:tc>
        <w:tc>
          <w:tcPr>
            <w:tcW w:w="938" w:type="dxa"/>
            <w:shd w:val="clear" w:color="auto" w:fill="auto"/>
            <w:vAlign w:val="bottom"/>
          </w:tcPr>
          <w:p w:rsidR="000B20B3" w:rsidRDefault="000B20B3" w:rsidP="00775426">
            <w:pPr>
              <w:rPr>
                <w:rFonts w:eastAsia="Calibri"/>
              </w:rPr>
            </w:pPr>
            <w:r>
              <w:rPr>
                <w:rFonts w:eastAsia="Calibri"/>
              </w:rPr>
              <w:t>1,62</w:t>
            </w:r>
          </w:p>
        </w:tc>
        <w:tc>
          <w:tcPr>
            <w:tcW w:w="922" w:type="dxa"/>
            <w:shd w:val="clear" w:color="auto" w:fill="auto"/>
            <w:vAlign w:val="bottom"/>
          </w:tcPr>
          <w:p w:rsidR="000B20B3" w:rsidRDefault="000B20B3" w:rsidP="00775426">
            <w:pPr>
              <w:rPr>
                <w:rFonts w:eastAsia="Calibri"/>
              </w:rPr>
            </w:pPr>
            <w:r>
              <w:rPr>
                <w:rFonts w:eastAsia="Calibri"/>
              </w:rPr>
              <w:t>9,35</w:t>
            </w:r>
          </w:p>
        </w:tc>
      </w:tr>
      <w:tr w:rsidR="000B20B3" w:rsidRPr="00D46F81" w:rsidTr="00775426">
        <w:tc>
          <w:tcPr>
            <w:tcW w:w="756" w:type="dxa"/>
            <w:shd w:val="clear" w:color="auto" w:fill="auto"/>
          </w:tcPr>
          <w:p w:rsidR="000B20B3" w:rsidRDefault="000B20B3" w:rsidP="00775426">
            <w:pPr>
              <w:rPr>
                <w:rFonts w:eastAsia="Calibri"/>
              </w:rPr>
            </w:pPr>
            <w:r>
              <w:rPr>
                <w:rFonts w:eastAsia="Calibri"/>
              </w:rPr>
              <w:t>2.3.</w:t>
            </w:r>
          </w:p>
        </w:tc>
        <w:tc>
          <w:tcPr>
            <w:tcW w:w="3669" w:type="dxa"/>
            <w:shd w:val="clear" w:color="auto" w:fill="auto"/>
          </w:tcPr>
          <w:p w:rsidR="000B20B3" w:rsidRDefault="000B20B3" w:rsidP="00775426">
            <w:pPr>
              <w:rPr>
                <w:rFonts w:eastAsia="Calibri"/>
              </w:rPr>
            </w:pPr>
            <w:r>
              <w:rPr>
                <w:rFonts w:eastAsia="Calibri"/>
              </w:rPr>
              <w:t>No 01.07.2022. (</w:t>
            </w:r>
            <w:proofErr w:type="spellStart"/>
            <w:r>
              <w:rPr>
                <w:rFonts w:eastAsia="Calibri"/>
              </w:rPr>
              <w:t>max</w:t>
            </w:r>
            <w:proofErr w:type="spellEnd"/>
            <w:r>
              <w:rPr>
                <w:rFonts w:eastAsia="Calibri"/>
              </w:rPr>
              <w:t xml:space="preserve"> 30 dienas) Pēc nepieciešamības ēdināšanu nodrošinot sākot no otrās diennakts</w:t>
            </w:r>
          </w:p>
        </w:tc>
        <w:tc>
          <w:tcPr>
            <w:tcW w:w="1464" w:type="dxa"/>
            <w:shd w:val="clear" w:color="auto" w:fill="auto"/>
          </w:tcPr>
          <w:p w:rsidR="000B20B3" w:rsidRDefault="000B20B3" w:rsidP="00775426">
            <w:pPr>
              <w:rPr>
                <w:rFonts w:eastAsia="Calibri"/>
              </w:rPr>
            </w:pPr>
          </w:p>
        </w:tc>
        <w:tc>
          <w:tcPr>
            <w:tcW w:w="1324" w:type="dxa"/>
            <w:shd w:val="clear" w:color="auto" w:fill="auto"/>
            <w:vAlign w:val="bottom"/>
          </w:tcPr>
          <w:p w:rsidR="000B20B3" w:rsidRDefault="000B20B3" w:rsidP="00775426">
            <w:pPr>
              <w:rPr>
                <w:rFonts w:eastAsia="Calibri"/>
              </w:rPr>
            </w:pPr>
          </w:p>
        </w:tc>
        <w:tc>
          <w:tcPr>
            <w:tcW w:w="938" w:type="dxa"/>
            <w:shd w:val="clear" w:color="auto" w:fill="auto"/>
            <w:vAlign w:val="bottom"/>
          </w:tcPr>
          <w:p w:rsidR="000B20B3" w:rsidRDefault="000B20B3" w:rsidP="00775426">
            <w:pPr>
              <w:rPr>
                <w:rFonts w:eastAsia="Calibri"/>
              </w:rPr>
            </w:pPr>
          </w:p>
        </w:tc>
        <w:tc>
          <w:tcPr>
            <w:tcW w:w="922" w:type="dxa"/>
            <w:shd w:val="clear" w:color="auto" w:fill="auto"/>
            <w:vAlign w:val="bottom"/>
          </w:tcPr>
          <w:p w:rsidR="000B20B3" w:rsidRDefault="000B20B3" w:rsidP="00775426">
            <w:pPr>
              <w:rPr>
                <w:rFonts w:eastAsia="Calibri"/>
              </w:rPr>
            </w:pPr>
          </w:p>
        </w:tc>
      </w:tr>
      <w:tr w:rsidR="000B20B3" w:rsidRPr="00D46F81" w:rsidTr="00775426">
        <w:tc>
          <w:tcPr>
            <w:tcW w:w="756" w:type="dxa"/>
            <w:shd w:val="clear" w:color="auto" w:fill="auto"/>
          </w:tcPr>
          <w:p w:rsidR="000B20B3" w:rsidRDefault="000B20B3" w:rsidP="00775426">
            <w:pPr>
              <w:rPr>
                <w:rFonts w:eastAsia="Calibri"/>
              </w:rPr>
            </w:pPr>
            <w:r>
              <w:rPr>
                <w:rFonts w:eastAsia="Calibri"/>
              </w:rPr>
              <w:t>2.3.1.</w:t>
            </w:r>
          </w:p>
        </w:tc>
        <w:tc>
          <w:tcPr>
            <w:tcW w:w="3669" w:type="dxa"/>
            <w:shd w:val="clear" w:color="auto" w:fill="auto"/>
          </w:tcPr>
          <w:p w:rsidR="000B20B3" w:rsidRDefault="000B20B3" w:rsidP="00775426">
            <w:pPr>
              <w:rPr>
                <w:rFonts w:eastAsia="Calibri"/>
              </w:rPr>
            </w:pPr>
            <w:r>
              <w:rPr>
                <w:rFonts w:eastAsia="Calibri"/>
              </w:rPr>
              <w:t xml:space="preserve">Vienai personai (saņemot gatavu </w:t>
            </w:r>
          </w:p>
          <w:p w:rsidR="000B20B3" w:rsidRDefault="000B20B3" w:rsidP="00775426">
            <w:pPr>
              <w:rPr>
                <w:rFonts w:eastAsia="Calibri"/>
              </w:rPr>
            </w:pPr>
          </w:p>
          <w:p w:rsidR="000B20B3" w:rsidRDefault="000B20B3" w:rsidP="00775426">
            <w:pPr>
              <w:rPr>
                <w:rFonts w:eastAsia="Calibri"/>
              </w:rPr>
            </w:pPr>
            <w:r>
              <w:rPr>
                <w:rFonts w:eastAsia="Calibri"/>
              </w:rPr>
              <w:lastRenderedPageBreak/>
              <w:t>maltīti)</w:t>
            </w:r>
          </w:p>
        </w:tc>
        <w:tc>
          <w:tcPr>
            <w:tcW w:w="1464" w:type="dxa"/>
            <w:shd w:val="clear" w:color="auto" w:fill="auto"/>
          </w:tcPr>
          <w:p w:rsidR="000B20B3" w:rsidRDefault="000B20B3" w:rsidP="00775426">
            <w:pPr>
              <w:rPr>
                <w:rFonts w:eastAsia="Calibri"/>
              </w:rPr>
            </w:pPr>
            <w:r>
              <w:rPr>
                <w:rFonts w:eastAsia="Calibri"/>
              </w:rPr>
              <w:lastRenderedPageBreak/>
              <w:t>diennaktī</w:t>
            </w:r>
          </w:p>
        </w:tc>
        <w:tc>
          <w:tcPr>
            <w:tcW w:w="1324" w:type="dxa"/>
            <w:shd w:val="clear" w:color="auto" w:fill="auto"/>
            <w:vAlign w:val="bottom"/>
          </w:tcPr>
          <w:p w:rsidR="000B20B3" w:rsidRDefault="000B20B3" w:rsidP="00775426">
            <w:pPr>
              <w:rPr>
                <w:rFonts w:eastAsia="Calibri"/>
              </w:rPr>
            </w:pPr>
            <w:r>
              <w:rPr>
                <w:rFonts w:eastAsia="Calibri"/>
              </w:rPr>
              <w:t>7,73</w:t>
            </w:r>
          </w:p>
        </w:tc>
        <w:tc>
          <w:tcPr>
            <w:tcW w:w="938" w:type="dxa"/>
            <w:shd w:val="clear" w:color="auto" w:fill="auto"/>
            <w:vAlign w:val="bottom"/>
          </w:tcPr>
          <w:p w:rsidR="000B20B3" w:rsidRDefault="000B20B3" w:rsidP="00775426">
            <w:pPr>
              <w:rPr>
                <w:rFonts w:eastAsia="Calibri"/>
              </w:rPr>
            </w:pPr>
            <w:r>
              <w:rPr>
                <w:rFonts w:eastAsia="Calibri"/>
              </w:rPr>
              <w:t>1,62</w:t>
            </w:r>
          </w:p>
        </w:tc>
        <w:tc>
          <w:tcPr>
            <w:tcW w:w="922" w:type="dxa"/>
            <w:shd w:val="clear" w:color="auto" w:fill="auto"/>
            <w:vAlign w:val="bottom"/>
          </w:tcPr>
          <w:p w:rsidR="000B20B3" w:rsidRDefault="000B20B3" w:rsidP="00775426">
            <w:pPr>
              <w:rPr>
                <w:rFonts w:eastAsia="Calibri"/>
              </w:rPr>
            </w:pPr>
            <w:r>
              <w:rPr>
                <w:rFonts w:eastAsia="Calibri"/>
              </w:rPr>
              <w:t>9,35</w:t>
            </w:r>
          </w:p>
        </w:tc>
      </w:tr>
      <w:tr w:rsidR="000B20B3" w:rsidRPr="00D46F81" w:rsidTr="00775426">
        <w:tc>
          <w:tcPr>
            <w:tcW w:w="756" w:type="dxa"/>
            <w:shd w:val="clear" w:color="auto" w:fill="auto"/>
          </w:tcPr>
          <w:p w:rsidR="000B20B3" w:rsidRDefault="000B20B3" w:rsidP="00775426">
            <w:pPr>
              <w:rPr>
                <w:rFonts w:eastAsia="Calibri"/>
              </w:rPr>
            </w:pPr>
            <w:r>
              <w:rPr>
                <w:rFonts w:eastAsia="Calibri"/>
              </w:rPr>
              <w:lastRenderedPageBreak/>
              <w:t>2.3.2.</w:t>
            </w:r>
          </w:p>
        </w:tc>
        <w:tc>
          <w:tcPr>
            <w:tcW w:w="3669" w:type="dxa"/>
            <w:shd w:val="clear" w:color="auto" w:fill="auto"/>
          </w:tcPr>
          <w:p w:rsidR="000B20B3" w:rsidRDefault="000B20B3" w:rsidP="00775426">
            <w:pPr>
              <w:rPr>
                <w:rFonts w:eastAsia="Calibri"/>
              </w:rPr>
            </w:pPr>
            <w:r>
              <w:rPr>
                <w:rFonts w:eastAsia="Calibri"/>
              </w:rPr>
              <w:t>Vienai personai (saņemot pārtikas produktus)</w:t>
            </w:r>
          </w:p>
        </w:tc>
        <w:tc>
          <w:tcPr>
            <w:tcW w:w="1464" w:type="dxa"/>
            <w:shd w:val="clear" w:color="auto" w:fill="auto"/>
          </w:tcPr>
          <w:p w:rsidR="000B20B3" w:rsidRDefault="000B20B3" w:rsidP="00775426">
            <w:pPr>
              <w:rPr>
                <w:rFonts w:eastAsia="Calibri"/>
              </w:rPr>
            </w:pPr>
            <w:r>
              <w:rPr>
                <w:rFonts w:eastAsia="Calibri"/>
              </w:rPr>
              <w:t>diennaktī</w:t>
            </w:r>
          </w:p>
        </w:tc>
        <w:tc>
          <w:tcPr>
            <w:tcW w:w="1324" w:type="dxa"/>
            <w:shd w:val="clear" w:color="auto" w:fill="auto"/>
            <w:vAlign w:val="bottom"/>
          </w:tcPr>
          <w:p w:rsidR="000B20B3" w:rsidRDefault="000B20B3" w:rsidP="00775426">
            <w:pPr>
              <w:rPr>
                <w:rFonts w:eastAsia="Calibri"/>
              </w:rPr>
            </w:pPr>
            <w:r>
              <w:rPr>
                <w:rFonts w:eastAsia="Calibri"/>
              </w:rPr>
              <w:t>4,13</w:t>
            </w:r>
          </w:p>
        </w:tc>
        <w:tc>
          <w:tcPr>
            <w:tcW w:w="938" w:type="dxa"/>
            <w:shd w:val="clear" w:color="auto" w:fill="auto"/>
            <w:vAlign w:val="bottom"/>
          </w:tcPr>
          <w:p w:rsidR="000B20B3" w:rsidRDefault="000B20B3" w:rsidP="00775426">
            <w:pPr>
              <w:rPr>
                <w:rFonts w:eastAsia="Calibri"/>
              </w:rPr>
            </w:pPr>
            <w:r>
              <w:rPr>
                <w:rFonts w:eastAsia="Calibri"/>
              </w:rPr>
              <w:t>0,87</w:t>
            </w:r>
          </w:p>
        </w:tc>
        <w:tc>
          <w:tcPr>
            <w:tcW w:w="922" w:type="dxa"/>
            <w:shd w:val="clear" w:color="auto" w:fill="auto"/>
            <w:vAlign w:val="bottom"/>
          </w:tcPr>
          <w:p w:rsidR="000B20B3" w:rsidRDefault="000B20B3" w:rsidP="00775426">
            <w:pPr>
              <w:rPr>
                <w:rFonts w:eastAsia="Calibri"/>
              </w:rPr>
            </w:pPr>
            <w:r>
              <w:rPr>
                <w:rFonts w:eastAsia="Calibri"/>
              </w:rPr>
              <w:t>5,00</w:t>
            </w:r>
          </w:p>
        </w:tc>
      </w:tr>
      <w:tr w:rsidR="000B20B3" w:rsidRPr="00D46F81" w:rsidTr="00775426">
        <w:tc>
          <w:tcPr>
            <w:tcW w:w="756" w:type="dxa"/>
            <w:shd w:val="clear" w:color="auto" w:fill="auto"/>
          </w:tcPr>
          <w:p w:rsidR="000B20B3" w:rsidRDefault="000B20B3" w:rsidP="00775426">
            <w:pPr>
              <w:rPr>
                <w:rFonts w:eastAsia="Calibri"/>
                <w:b/>
                <w:bCs/>
              </w:rPr>
            </w:pPr>
            <w:r>
              <w:rPr>
                <w:rFonts w:eastAsia="Calibri"/>
                <w:b/>
                <w:bCs/>
              </w:rPr>
              <w:t>2.4.</w:t>
            </w:r>
          </w:p>
        </w:tc>
        <w:tc>
          <w:tcPr>
            <w:tcW w:w="3669" w:type="dxa"/>
            <w:shd w:val="clear" w:color="auto" w:fill="auto"/>
          </w:tcPr>
          <w:p w:rsidR="000B20B3" w:rsidRDefault="000B20B3" w:rsidP="00775426">
            <w:pPr>
              <w:rPr>
                <w:rFonts w:eastAsia="Calibri"/>
                <w:b/>
                <w:bCs/>
              </w:rPr>
            </w:pPr>
            <w:r>
              <w:rPr>
                <w:rFonts w:eastAsia="Calibri"/>
                <w:b/>
                <w:bCs/>
              </w:rPr>
              <w:t>Pēc 120/30 dienu termiņa beigšanās/ pēc valsts atbalsta termiņa beigām</w:t>
            </w:r>
          </w:p>
        </w:tc>
        <w:tc>
          <w:tcPr>
            <w:tcW w:w="1464" w:type="dxa"/>
            <w:shd w:val="clear" w:color="auto" w:fill="auto"/>
          </w:tcPr>
          <w:p w:rsidR="000B20B3" w:rsidRDefault="000B20B3" w:rsidP="00775426">
            <w:pPr>
              <w:rPr>
                <w:rFonts w:eastAsia="Calibri"/>
              </w:rPr>
            </w:pPr>
          </w:p>
        </w:tc>
        <w:tc>
          <w:tcPr>
            <w:tcW w:w="1324" w:type="dxa"/>
            <w:shd w:val="clear" w:color="auto" w:fill="auto"/>
            <w:vAlign w:val="bottom"/>
          </w:tcPr>
          <w:p w:rsidR="000B20B3" w:rsidRDefault="000B20B3" w:rsidP="00775426">
            <w:pPr>
              <w:rPr>
                <w:rFonts w:eastAsia="Calibri"/>
              </w:rPr>
            </w:pPr>
          </w:p>
        </w:tc>
        <w:tc>
          <w:tcPr>
            <w:tcW w:w="938" w:type="dxa"/>
            <w:shd w:val="clear" w:color="auto" w:fill="auto"/>
            <w:vAlign w:val="bottom"/>
          </w:tcPr>
          <w:p w:rsidR="000B20B3" w:rsidRDefault="000B20B3" w:rsidP="00775426">
            <w:pPr>
              <w:rPr>
                <w:rFonts w:eastAsia="Calibri"/>
              </w:rPr>
            </w:pPr>
          </w:p>
        </w:tc>
        <w:tc>
          <w:tcPr>
            <w:tcW w:w="922" w:type="dxa"/>
            <w:shd w:val="clear" w:color="auto" w:fill="auto"/>
            <w:vAlign w:val="bottom"/>
          </w:tcPr>
          <w:p w:rsidR="000B20B3" w:rsidRDefault="000B20B3" w:rsidP="00775426">
            <w:pPr>
              <w:rPr>
                <w:rFonts w:eastAsia="Calibri"/>
              </w:rPr>
            </w:pPr>
          </w:p>
        </w:tc>
      </w:tr>
      <w:tr w:rsidR="000B20B3" w:rsidRPr="00D46F81" w:rsidTr="00775426">
        <w:tc>
          <w:tcPr>
            <w:tcW w:w="756" w:type="dxa"/>
            <w:shd w:val="clear" w:color="auto" w:fill="auto"/>
          </w:tcPr>
          <w:p w:rsidR="000B20B3" w:rsidRDefault="000B20B3" w:rsidP="00775426">
            <w:pPr>
              <w:rPr>
                <w:rFonts w:eastAsia="Calibri"/>
              </w:rPr>
            </w:pPr>
            <w:r>
              <w:rPr>
                <w:rFonts w:eastAsia="Calibri"/>
              </w:rPr>
              <w:t>2.4.1.</w:t>
            </w:r>
          </w:p>
        </w:tc>
        <w:tc>
          <w:tcPr>
            <w:tcW w:w="3669" w:type="dxa"/>
            <w:shd w:val="clear" w:color="auto" w:fill="auto"/>
          </w:tcPr>
          <w:p w:rsidR="000B20B3" w:rsidRDefault="000B20B3" w:rsidP="00775426">
            <w:pPr>
              <w:rPr>
                <w:rFonts w:eastAsia="Calibri"/>
              </w:rPr>
            </w:pPr>
            <w:r>
              <w:rPr>
                <w:rFonts w:eastAsia="Calibri"/>
              </w:rPr>
              <w:t>Ļaudonā (saņemot gatavu maltīti)</w:t>
            </w:r>
          </w:p>
        </w:tc>
        <w:tc>
          <w:tcPr>
            <w:tcW w:w="1464" w:type="dxa"/>
            <w:shd w:val="clear" w:color="auto" w:fill="auto"/>
          </w:tcPr>
          <w:p w:rsidR="000B20B3" w:rsidRDefault="000B20B3" w:rsidP="00775426">
            <w:pPr>
              <w:rPr>
                <w:rFonts w:eastAsia="Calibri"/>
              </w:rPr>
            </w:pPr>
            <w:r>
              <w:rPr>
                <w:rFonts w:eastAsia="Calibri"/>
              </w:rPr>
              <w:t>1 personai diennaktī</w:t>
            </w:r>
          </w:p>
        </w:tc>
        <w:tc>
          <w:tcPr>
            <w:tcW w:w="1324" w:type="dxa"/>
            <w:shd w:val="clear" w:color="auto" w:fill="auto"/>
            <w:vAlign w:val="bottom"/>
          </w:tcPr>
          <w:p w:rsidR="000B20B3" w:rsidRDefault="000B20B3" w:rsidP="00775426">
            <w:pPr>
              <w:rPr>
                <w:rFonts w:eastAsia="Calibri"/>
              </w:rPr>
            </w:pPr>
            <w:r>
              <w:rPr>
                <w:rFonts w:eastAsia="Calibri"/>
              </w:rPr>
              <w:t>4,13</w:t>
            </w:r>
          </w:p>
        </w:tc>
        <w:tc>
          <w:tcPr>
            <w:tcW w:w="938" w:type="dxa"/>
            <w:shd w:val="clear" w:color="auto" w:fill="auto"/>
            <w:vAlign w:val="bottom"/>
          </w:tcPr>
          <w:p w:rsidR="000B20B3" w:rsidRDefault="000B20B3" w:rsidP="00775426">
            <w:pPr>
              <w:rPr>
                <w:rFonts w:eastAsia="Calibri"/>
              </w:rPr>
            </w:pPr>
            <w:r>
              <w:rPr>
                <w:rFonts w:eastAsia="Calibri"/>
              </w:rPr>
              <w:t>0,87</w:t>
            </w:r>
          </w:p>
        </w:tc>
        <w:tc>
          <w:tcPr>
            <w:tcW w:w="922" w:type="dxa"/>
            <w:shd w:val="clear" w:color="auto" w:fill="auto"/>
            <w:vAlign w:val="bottom"/>
          </w:tcPr>
          <w:p w:rsidR="000B20B3" w:rsidRDefault="000B20B3" w:rsidP="00775426">
            <w:pPr>
              <w:rPr>
                <w:rFonts w:eastAsia="Calibri"/>
              </w:rPr>
            </w:pPr>
            <w:r>
              <w:rPr>
                <w:rFonts w:eastAsia="Calibri"/>
              </w:rPr>
              <w:t>5,00</w:t>
            </w:r>
          </w:p>
        </w:tc>
      </w:tr>
    </w:tbl>
    <w:p w:rsidR="000B20B3" w:rsidRPr="00D46F81" w:rsidRDefault="000B20B3" w:rsidP="000B20B3">
      <w:pPr>
        <w:pStyle w:val="Sarakstarindkopa"/>
        <w:spacing w:after="0" w:line="240" w:lineRule="auto"/>
        <w:ind w:left="0" w:firstLine="567"/>
        <w:jc w:val="both"/>
        <w:rPr>
          <w:rFonts w:ascii="Times New Roman" w:hAnsi="Times New Roman"/>
          <w:sz w:val="24"/>
          <w:szCs w:val="24"/>
        </w:rPr>
      </w:pPr>
    </w:p>
    <w:p w:rsidR="000B20B3" w:rsidRPr="00D46F81" w:rsidRDefault="000B20B3" w:rsidP="000B20B3">
      <w:pPr>
        <w:ind w:firstLine="709"/>
        <w:jc w:val="both"/>
        <w:rPr>
          <w:lang w:eastAsia="hi-IN" w:bidi="hi-IN"/>
        </w:rPr>
      </w:pPr>
      <w:r w:rsidRPr="00D46F81">
        <w:t>*</w:t>
      </w:r>
      <w:r w:rsidRPr="00D46F81">
        <w:rPr>
          <w:lang w:eastAsia="hi-IN" w:bidi="hi-IN"/>
        </w:rPr>
        <w:t xml:space="preserve"> Par Madonas novada teritorijā esošajās dienesta viesnīcām par vienu pielāgotu istabu. Nosakot, ka istabā nedrīkst būt izmitināts lielāks skaits personu, kā oficiālais gultas vietu skaits, neņemot vērā zīdaiņus un bērnus līdz 2 gadu vecumam. Cenu piemērot līdz 2022. gada 31. decembrim.</w:t>
      </w:r>
    </w:p>
    <w:p w:rsidR="000B20B3" w:rsidRPr="00D46F81" w:rsidRDefault="000B20B3" w:rsidP="000B20B3">
      <w:pPr>
        <w:pStyle w:val="Sarakstarindkopa"/>
        <w:spacing w:after="0" w:line="240" w:lineRule="auto"/>
        <w:ind w:left="0" w:firstLine="567"/>
        <w:jc w:val="both"/>
        <w:rPr>
          <w:rFonts w:ascii="Times New Roman" w:hAnsi="Times New Roman"/>
          <w:sz w:val="24"/>
          <w:szCs w:val="24"/>
        </w:rPr>
      </w:pPr>
    </w:p>
    <w:p w:rsidR="000B20B3" w:rsidRPr="00D46F81" w:rsidRDefault="000B20B3" w:rsidP="000B20B3">
      <w:pPr>
        <w:pStyle w:val="Sarakstarindkopa"/>
        <w:spacing w:after="0" w:line="240" w:lineRule="auto"/>
        <w:ind w:left="0" w:firstLine="567"/>
        <w:jc w:val="both"/>
        <w:rPr>
          <w:rFonts w:ascii="Times New Roman" w:hAnsi="Times New Roman"/>
          <w:sz w:val="24"/>
          <w:szCs w:val="24"/>
        </w:rPr>
      </w:pPr>
      <w:r w:rsidRPr="00D46F81">
        <w:rPr>
          <w:rFonts w:ascii="Times New Roman" w:hAnsi="Times New Roman"/>
          <w:sz w:val="24"/>
          <w:szCs w:val="24"/>
        </w:rPr>
        <w:t>1.2. Lēmuma pielikuma Nr.1.-13.,15 un Ērgļu, Lubānas un Cesvaines apvienību pārvalžu maksas pakalpojumu aktuālajos cenrāžos grozot izglītības, sociālās aprūpes un citu pārvalžu iestāžu darbinieku ēdināšanas pozīcijas, kuras ir aktuālas un tiek nodrošinātas pārvaldes vai pilsētas teritorijā</w:t>
      </w:r>
    </w:p>
    <w:p w:rsidR="000B20B3" w:rsidRPr="00D46F81" w:rsidRDefault="000B20B3" w:rsidP="000B20B3">
      <w:pPr>
        <w:pStyle w:val="Sarakstarindkopa"/>
        <w:spacing w:after="0" w:line="240" w:lineRule="auto"/>
        <w:ind w:left="0" w:firstLine="567"/>
        <w:jc w:val="both"/>
        <w:rPr>
          <w:rFonts w:ascii="Times New Roman" w:hAnsi="Times New Roman"/>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820"/>
        <w:gridCol w:w="1403"/>
        <w:gridCol w:w="1432"/>
        <w:gridCol w:w="1123"/>
        <w:gridCol w:w="1712"/>
      </w:tblGrid>
      <w:tr w:rsidR="000B20B3" w:rsidRPr="00D46F81" w:rsidTr="00775426">
        <w:tc>
          <w:tcPr>
            <w:tcW w:w="577" w:type="dxa"/>
            <w:shd w:val="clear" w:color="auto" w:fill="auto"/>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Nr. p.k.</w:t>
            </w:r>
          </w:p>
        </w:tc>
        <w:tc>
          <w:tcPr>
            <w:tcW w:w="2820" w:type="dxa"/>
            <w:shd w:val="clear" w:color="auto" w:fill="auto"/>
            <w:vAlign w:val="bottom"/>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b/>
                <w:bCs/>
                <w:sz w:val="24"/>
                <w:szCs w:val="24"/>
              </w:rPr>
              <w:t>Pakalpojums</w:t>
            </w:r>
          </w:p>
        </w:tc>
        <w:tc>
          <w:tcPr>
            <w:tcW w:w="1403" w:type="dxa"/>
            <w:shd w:val="clear" w:color="auto" w:fill="auto"/>
            <w:vAlign w:val="center"/>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b/>
                <w:bCs/>
                <w:sz w:val="24"/>
                <w:szCs w:val="24"/>
              </w:rPr>
              <w:t>Mērvienība</w:t>
            </w:r>
          </w:p>
        </w:tc>
        <w:tc>
          <w:tcPr>
            <w:tcW w:w="1432" w:type="dxa"/>
            <w:shd w:val="clear" w:color="auto" w:fill="auto"/>
            <w:vAlign w:val="center"/>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b/>
                <w:bCs/>
                <w:sz w:val="24"/>
                <w:szCs w:val="24"/>
              </w:rPr>
              <w:t>Cena bez PVN (EUR)</w:t>
            </w:r>
          </w:p>
        </w:tc>
        <w:tc>
          <w:tcPr>
            <w:tcW w:w="1123" w:type="dxa"/>
            <w:shd w:val="clear" w:color="auto" w:fill="auto"/>
            <w:vAlign w:val="center"/>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b/>
                <w:bCs/>
                <w:sz w:val="24"/>
                <w:szCs w:val="24"/>
              </w:rPr>
              <w:t>PVN (EUR)</w:t>
            </w:r>
          </w:p>
        </w:tc>
        <w:tc>
          <w:tcPr>
            <w:tcW w:w="1712" w:type="dxa"/>
            <w:shd w:val="clear" w:color="auto" w:fill="auto"/>
            <w:vAlign w:val="center"/>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b/>
                <w:bCs/>
                <w:sz w:val="24"/>
                <w:szCs w:val="24"/>
              </w:rPr>
              <w:t>Cena kopā  ar PVN (EUR)</w:t>
            </w:r>
          </w:p>
        </w:tc>
      </w:tr>
      <w:tr w:rsidR="000B20B3" w:rsidRPr="00D46F81" w:rsidTr="00775426">
        <w:tc>
          <w:tcPr>
            <w:tcW w:w="577" w:type="dxa"/>
            <w:shd w:val="clear" w:color="auto" w:fill="auto"/>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1.</w:t>
            </w:r>
          </w:p>
        </w:tc>
        <w:tc>
          <w:tcPr>
            <w:tcW w:w="8490" w:type="dxa"/>
            <w:gridSpan w:val="5"/>
            <w:shd w:val="clear" w:color="auto" w:fill="auto"/>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Vienas porcijas pašizmaksa izglītības iestāžu darbiniekiem</w:t>
            </w:r>
          </w:p>
        </w:tc>
      </w:tr>
      <w:tr w:rsidR="000B20B3" w:rsidRPr="00D46F81" w:rsidTr="00775426">
        <w:tc>
          <w:tcPr>
            <w:tcW w:w="577" w:type="dxa"/>
            <w:shd w:val="clear" w:color="auto" w:fill="auto"/>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1.1.</w:t>
            </w:r>
          </w:p>
        </w:tc>
        <w:tc>
          <w:tcPr>
            <w:tcW w:w="2820" w:type="dxa"/>
            <w:shd w:val="clear" w:color="auto" w:fill="auto"/>
            <w:vAlign w:val="bottom"/>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brokastis</w:t>
            </w:r>
          </w:p>
        </w:tc>
        <w:tc>
          <w:tcPr>
            <w:tcW w:w="1403" w:type="dxa"/>
            <w:shd w:val="clear" w:color="auto" w:fill="auto"/>
            <w:vAlign w:val="bottom"/>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eiro/</w:t>
            </w:r>
            <w:proofErr w:type="spellStart"/>
            <w:r>
              <w:rPr>
                <w:rFonts w:ascii="Times New Roman" w:hAnsi="Times New Roman"/>
                <w:sz w:val="24"/>
                <w:szCs w:val="24"/>
              </w:rPr>
              <w:t>gab</w:t>
            </w:r>
            <w:proofErr w:type="spellEnd"/>
          </w:p>
        </w:tc>
        <w:tc>
          <w:tcPr>
            <w:tcW w:w="1432" w:type="dxa"/>
            <w:shd w:val="clear" w:color="auto" w:fill="auto"/>
            <w:vAlign w:val="bottom"/>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1,10</w:t>
            </w:r>
          </w:p>
        </w:tc>
        <w:tc>
          <w:tcPr>
            <w:tcW w:w="1123" w:type="dxa"/>
            <w:shd w:val="clear" w:color="auto" w:fill="auto"/>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0,0 **</w:t>
            </w:r>
          </w:p>
        </w:tc>
        <w:tc>
          <w:tcPr>
            <w:tcW w:w="1712" w:type="dxa"/>
            <w:shd w:val="clear" w:color="auto" w:fill="auto"/>
            <w:vAlign w:val="bottom"/>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1,10</w:t>
            </w:r>
          </w:p>
        </w:tc>
      </w:tr>
      <w:tr w:rsidR="000B20B3" w:rsidRPr="00D46F81" w:rsidTr="00775426">
        <w:tc>
          <w:tcPr>
            <w:tcW w:w="577" w:type="dxa"/>
            <w:shd w:val="clear" w:color="auto" w:fill="auto"/>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1.2.</w:t>
            </w:r>
          </w:p>
        </w:tc>
        <w:tc>
          <w:tcPr>
            <w:tcW w:w="2820" w:type="dxa"/>
            <w:shd w:val="clear" w:color="auto" w:fill="auto"/>
            <w:vAlign w:val="bottom"/>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pusdienas</w:t>
            </w:r>
          </w:p>
        </w:tc>
        <w:tc>
          <w:tcPr>
            <w:tcW w:w="1403" w:type="dxa"/>
            <w:shd w:val="clear" w:color="auto" w:fill="auto"/>
            <w:vAlign w:val="bottom"/>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eiro/</w:t>
            </w:r>
            <w:proofErr w:type="spellStart"/>
            <w:r>
              <w:rPr>
                <w:rFonts w:ascii="Times New Roman" w:hAnsi="Times New Roman"/>
                <w:sz w:val="24"/>
                <w:szCs w:val="24"/>
              </w:rPr>
              <w:t>gab</w:t>
            </w:r>
            <w:proofErr w:type="spellEnd"/>
          </w:p>
        </w:tc>
        <w:tc>
          <w:tcPr>
            <w:tcW w:w="1432" w:type="dxa"/>
            <w:shd w:val="clear" w:color="auto" w:fill="auto"/>
            <w:vAlign w:val="bottom"/>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2,50</w:t>
            </w:r>
          </w:p>
        </w:tc>
        <w:tc>
          <w:tcPr>
            <w:tcW w:w="1123" w:type="dxa"/>
            <w:shd w:val="clear" w:color="auto" w:fill="auto"/>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0,0 **</w:t>
            </w:r>
          </w:p>
        </w:tc>
        <w:tc>
          <w:tcPr>
            <w:tcW w:w="1712" w:type="dxa"/>
            <w:shd w:val="clear" w:color="auto" w:fill="auto"/>
            <w:vAlign w:val="bottom"/>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2,50</w:t>
            </w:r>
          </w:p>
        </w:tc>
      </w:tr>
      <w:tr w:rsidR="000B20B3" w:rsidRPr="00D46F81" w:rsidTr="00775426">
        <w:tc>
          <w:tcPr>
            <w:tcW w:w="577" w:type="dxa"/>
            <w:shd w:val="clear" w:color="auto" w:fill="auto"/>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1.3.</w:t>
            </w:r>
          </w:p>
        </w:tc>
        <w:tc>
          <w:tcPr>
            <w:tcW w:w="2820" w:type="dxa"/>
            <w:shd w:val="clear" w:color="auto" w:fill="auto"/>
            <w:vAlign w:val="bottom"/>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launags</w:t>
            </w:r>
          </w:p>
        </w:tc>
        <w:tc>
          <w:tcPr>
            <w:tcW w:w="1403" w:type="dxa"/>
            <w:shd w:val="clear" w:color="auto" w:fill="auto"/>
            <w:vAlign w:val="bottom"/>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eiro/</w:t>
            </w:r>
            <w:proofErr w:type="spellStart"/>
            <w:r>
              <w:rPr>
                <w:rFonts w:ascii="Times New Roman" w:hAnsi="Times New Roman"/>
                <w:sz w:val="24"/>
                <w:szCs w:val="24"/>
              </w:rPr>
              <w:t>gab</w:t>
            </w:r>
            <w:proofErr w:type="spellEnd"/>
          </w:p>
        </w:tc>
        <w:tc>
          <w:tcPr>
            <w:tcW w:w="1432" w:type="dxa"/>
            <w:shd w:val="clear" w:color="auto" w:fill="auto"/>
            <w:vAlign w:val="bottom"/>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1,20</w:t>
            </w:r>
          </w:p>
        </w:tc>
        <w:tc>
          <w:tcPr>
            <w:tcW w:w="1123" w:type="dxa"/>
            <w:shd w:val="clear" w:color="auto" w:fill="auto"/>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0,0 **</w:t>
            </w:r>
          </w:p>
        </w:tc>
        <w:tc>
          <w:tcPr>
            <w:tcW w:w="1712" w:type="dxa"/>
            <w:shd w:val="clear" w:color="auto" w:fill="auto"/>
            <w:vAlign w:val="bottom"/>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1,20</w:t>
            </w:r>
          </w:p>
        </w:tc>
      </w:tr>
      <w:tr w:rsidR="000B20B3" w:rsidRPr="00D46F81" w:rsidTr="00775426">
        <w:tc>
          <w:tcPr>
            <w:tcW w:w="577" w:type="dxa"/>
            <w:shd w:val="clear" w:color="auto" w:fill="auto"/>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1.4.</w:t>
            </w:r>
          </w:p>
        </w:tc>
        <w:tc>
          <w:tcPr>
            <w:tcW w:w="2820" w:type="dxa"/>
            <w:shd w:val="clear" w:color="auto" w:fill="auto"/>
            <w:vAlign w:val="bottom"/>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vakariņas</w:t>
            </w:r>
          </w:p>
        </w:tc>
        <w:tc>
          <w:tcPr>
            <w:tcW w:w="1403" w:type="dxa"/>
            <w:shd w:val="clear" w:color="auto" w:fill="auto"/>
            <w:vAlign w:val="bottom"/>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eiro/</w:t>
            </w:r>
            <w:proofErr w:type="spellStart"/>
            <w:r>
              <w:rPr>
                <w:rFonts w:ascii="Times New Roman" w:hAnsi="Times New Roman"/>
                <w:sz w:val="24"/>
                <w:szCs w:val="24"/>
              </w:rPr>
              <w:t>gab</w:t>
            </w:r>
            <w:proofErr w:type="spellEnd"/>
          </w:p>
        </w:tc>
        <w:tc>
          <w:tcPr>
            <w:tcW w:w="1432" w:type="dxa"/>
            <w:shd w:val="clear" w:color="auto" w:fill="auto"/>
            <w:vAlign w:val="bottom"/>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1,50</w:t>
            </w:r>
          </w:p>
        </w:tc>
        <w:tc>
          <w:tcPr>
            <w:tcW w:w="1123" w:type="dxa"/>
            <w:shd w:val="clear" w:color="auto" w:fill="auto"/>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0,0 **</w:t>
            </w:r>
          </w:p>
        </w:tc>
        <w:tc>
          <w:tcPr>
            <w:tcW w:w="1712" w:type="dxa"/>
            <w:shd w:val="clear" w:color="auto" w:fill="auto"/>
            <w:vAlign w:val="bottom"/>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1,50</w:t>
            </w:r>
          </w:p>
        </w:tc>
      </w:tr>
      <w:tr w:rsidR="000B20B3" w:rsidRPr="00D46F81" w:rsidTr="00775426">
        <w:tc>
          <w:tcPr>
            <w:tcW w:w="577" w:type="dxa"/>
            <w:shd w:val="clear" w:color="auto" w:fill="auto"/>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2.</w:t>
            </w:r>
          </w:p>
        </w:tc>
        <w:tc>
          <w:tcPr>
            <w:tcW w:w="8490" w:type="dxa"/>
            <w:gridSpan w:val="5"/>
            <w:shd w:val="clear" w:color="auto" w:fill="auto"/>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Vienas porcijas pašizmaksa pansionātu, sociālās aprūpes centru un Madonas novada sociālās aprūpes un rehabilitācijas centrs "Ozoli" darbinieku ēdināšanai</w:t>
            </w:r>
          </w:p>
        </w:tc>
      </w:tr>
      <w:tr w:rsidR="000B20B3" w:rsidRPr="00D46F81" w:rsidTr="00775426">
        <w:tc>
          <w:tcPr>
            <w:tcW w:w="577" w:type="dxa"/>
            <w:shd w:val="clear" w:color="auto" w:fill="auto"/>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2.1.</w:t>
            </w:r>
          </w:p>
        </w:tc>
        <w:tc>
          <w:tcPr>
            <w:tcW w:w="2820" w:type="dxa"/>
            <w:shd w:val="clear" w:color="auto" w:fill="auto"/>
            <w:vAlign w:val="bottom"/>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brokastis</w:t>
            </w:r>
          </w:p>
        </w:tc>
        <w:tc>
          <w:tcPr>
            <w:tcW w:w="1403" w:type="dxa"/>
            <w:shd w:val="clear" w:color="auto" w:fill="auto"/>
            <w:vAlign w:val="bottom"/>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eiro/</w:t>
            </w:r>
            <w:proofErr w:type="spellStart"/>
            <w:r>
              <w:rPr>
                <w:rFonts w:ascii="Times New Roman" w:hAnsi="Times New Roman"/>
                <w:sz w:val="24"/>
                <w:szCs w:val="24"/>
              </w:rPr>
              <w:t>gab</w:t>
            </w:r>
            <w:proofErr w:type="spellEnd"/>
          </w:p>
        </w:tc>
        <w:tc>
          <w:tcPr>
            <w:tcW w:w="1432" w:type="dxa"/>
            <w:shd w:val="clear" w:color="auto" w:fill="auto"/>
            <w:vAlign w:val="bottom"/>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1,10</w:t>
            </w:r>
          </w:p>
        </w:tc>
        <w:tc>
          <w:tcPr>
            <w:tcW w:w="1123" w:type="dxa"/>
            <w:shd w:val="clear" w:color="auto" w:fill="auto"/>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0,23</w:t>
            </w:r>
          </w:p>
        </w:tc>
        <w:tc>
          <w:tcPr>
            <w:tcW w:w="1712" w:type="dxa"/>
            <w:shd w:val="clear" w:color="auto" w:fill="auto"/>
            <w:vAlign w:val="bottom"/>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1,33</w:t>
            </w:r>
          </w:p>
        </w:tc>
      </w:tr>
      <w:tr w:rsidR="000B20B3" w:rsidRPr="00D46F81" w:rsidTr="00775426">
        <w:tc>
          <w:tcPr>
            <w:tcW w:w="577" w:type="dxa"/>
            <w:shd w:val="clear" w:color="auto" w:fill="auto"/>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2.2.</w:t>
            </w:r>
          </w:p>
        </w:tc>
        <w:tc>
          <w:tcPr>
            <w:tcW w:w="2820" w:type="dxa"/>
            <w:shd w:val="clear" w:color="auto" w:fill="auto"/>
            <w:vAlign w:val="bottom"/>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pusdienas</w:t>
            </w:r>
          </w:p>
        </w:tc>
        <w:tc>
          <w:tcPr>
            <w:tcW w:w="1403" w:type="dxa"/>
            <w:shd w:val="clear" w:color="auto" w:fill="auto"/>
            <w:vAlign w:val="bottom"/>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eiro/</w:t>
            </w:r>
            <w:proofErr w:type="spellStart"/>
            <w:r>
              <w:rPr>
                <w:rFonts w:ascii="Times New Roman" w:hAnsi="Times New Roman"/>
                <w:sz w:val="24"/>
                <w:szCs w:val="24"/>
              </w:rPr>
              <w:t>gab</w:t>
            </w:r>
            <w:proofErr w:type="spellEnd"/>
          </w:p>
        </w:tc>
        <w:tc>
          <w:tcPr>
            <w:tcW w:w="1432" w:type="dxa"/>
            <w:shd w:val="clear" w:color="auto" w:fill="auto"/>
            <w:vAlign w:val="bottom"/>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2,50</w:t>
            </w:r>
          </w:p>
        </w:tc>
        <w:tc>
          <w:tcPr>
            <w:tcW w:w="1123" w:type="dxa"/>
            <w:shd w:val="clear" w:color="auto" w:fill="auto"/>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0,53</w:t>
            </w:r>
          </w:p>
        </w:tc>
        <w:tc>
          <w:tcPr>
            <w:tcW w:w="1712" w:type="dxa"/>
            <w:shd w:val="clear" w:color="auto" w:fill="auto"/>
            <w:vAlign w:val="bottom"/>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3,03</w:t>
            </w:r>
          </w:p>
        </w:tc>
      </w:tr>
      <w:tr w:rsidR="000B20B3" w:rsidRPr="00D46F81" w:rsidTr="00775426">
        <w:tc>
          <w:tcPr>
            <w:tcW w:w="577" w:type="dxa"/>
            <w:shd w:val="clear" w:color="auto" w:fill="auto"/>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2.3.</w:t>
            </w:r>
          </w:p>
        </w:tc>
        <w:tc>
          <w:tcPr>
            <w:tcW w:w="2820" w:type="dxa"/>
            <w:shd w:val="clear" w:color="auto" w:fill="auto"/>
            <w:vAlign w:val="bottom"/>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launags</w:t>
            </w:r>
          </w:p>
        </w:tc>
        <w:tc>
          <w:tcPr>
            <w:tcW w:w="1403" w:type="dxa"/>
            <w:shd w:val="clear" w:color="auto" w:fill="auto"/>
            <w:vAlign w:val="bottom"/>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eiro/</w:t>
            </w:r>
            <w:proofErr w:type="spellStart"/>
            <w:r>
              <w:rPr>
                <w:rFonts w:ascii="Times New Roman" w:hAnsi="Times New Roman"/>
                <w:sz w:val="24"/>
                <w:szCs w:val="24"/>
              </w:rPr>
              <w:t>gab</w:t>
            </w:r>
            <w:proofErr w:type="spellEnd"/>
          </w:p>
        </w:tc>
        <w:tc>
          <w:tcPr>
            <w:tcW w:w="1432" w:type="dxa"/>
            <w:shd w:val="clear" w:color="auto" w:fill="auto"/>
            <w:vAlign w:val="bottom"/>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1,20</w:t>
            </w:r>
          </w:p>
        </w:tc>
        <w:tc>
          <w:tcPr>
            <w:tcW w:w="1123" w:type="dxa"/>
            <w:shd w:val="clear" w:color="auto" w:fill="auto"/>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0,25</w:t>
            </w:r>
          </w:p>
        </w:tc>
        <w:tc>
          <w:tcPr>
            <w:tcW w:w="1712" w:type="dxa"/>
            <w:shd w:val="clear" w:color="auto" w:fill="auto"/>
            <w:vAlign w:val="bottom"/>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1,45</w:t>
            </w:r>
          </w:p>
        </w:tc>
      </w:tr>
      <w:tr w:rsidR="000B20B3" w:rsidRPr="00D46F81" w:rsidTr="00775426">
        <w:tc>
          <w:tcPr>
            <w:tcW w:w="577" w:type="dxa"/>
            <w:shd w:val="clear" w:color="auto" w:fill="auto"/>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2.4.</w:t>
            </w:r>
          </w:p>
        </w:tc>
        <w:tc>
          <w:tcPr>
            <w:tcW w:w="2820" w:type="dxa"/>
            <w:shd w:val="clear" w:color="auto" w:fill="auto"/>
            <w:vAlign w:val="bottom"/>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vakariņas</w:t>
            </w:r>
          </w:p>
        </w:tc>
        <w:tc>
          <w:tcPr>
            <w:tcW w:w="1403" w:type="dxa"/>
            <w:shd w:val="clear" w:color="auto" w:fill="auto"/>
            <w:vAlign w:val="bottom"/>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eiro/</w:t>
            </w:r>
            <w:proofErr w:type="spellStart"/>
            <w:r>
              <w:rPr>
                <w:rFonts w:ascii="Times New Roman" w:hAnsi="Times New Roman"/>
                <w:sz w:val="24"/>
                <w:szCs w:val="24"/>
              </w:rPr>
              <w:t>gab</w:t>
            </w:r>
            <w:proofErr w:type="spellEnd"/>
          </w:p>
        </w:tc>
        <w:tc>
          <w:tcPr>
            <w:tcW w:w="1432" w:type="dxa"/>
            <w:shd w:val="clear" w:color="auto" w:fill="auto"/>
            <w:vAlign w:val="bottom"/>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1,50</w:t>
            </w:r>
          </w:p>
        </w:tc>
        <w:tc>
          <w:tcPr>
            <w:tcW w:w="1123" w:type="dxa"/>
            <w:shd w:val="clear" w:color="auto" w:fill="auto"/>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0,32</w:t>
            </w:r>
          </w:p>
        </w:tc>
        <w:tc>
          <w:tcPr>
            <w:tcW w:w="1712" w:type="dxa"/>
            <w:shd w:val="clear" w:color="auto" w:fill="auto"/>
            <w:vAlign w:val="bottom"/>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1,82</w:t>
            </w:r>
          </w:p>
        </w:tc>
      </w:tr>
      <w:tr w:rsidR="000B20B3" w:rsidRPr="00D46F81" w:rsidTr="00775426">
        <w:tc>
          <w:tcPr>
            <w:tcW w:w="577" w:type="dxa"/>
            <w:shd w:val="clear" w:color="auto" w:fill="auto"/>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3.</w:t>
            </w:r>
          </w:p>
        </w:tc>
        <w:tc>
          <w:tcPr>
            <w:tcW w:w="8490" w:type="dxa"/>
            <w:gridSpan w:val="5"/>
            <w:shd w:val="clear" w:color="auto" w:fill="auto"/>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Vienas porcijas pašizmaksa attiecīgās pārvaldes citu iestāžu darbiniekiem, kur tiek nodrošināts šāds pakalpojums</w:t>
            </w:r>
          </w:p>
        </w:tc>
      </w:tr>
      <w:tr w:rsidR="000B20B3" w:rsidRPr="00D46F81" w:rsidTr="00775426">
        <w:tc>
          <w:tcPr>
            <w:tcW w:w="577" w:type="dxa"/>
            <w:shd w:val="clear" w:color="auto" w:fill="auto"/>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3.1.</w:t>
            </w:r>
          </w:p>
        </w:tc>
        <w:tc>
          <w:tcPr>
            <w:tcW w:w="2820" w:type="dxa"/>
            <w:shd w:val="clear" w:color="auto" w:fill="auto"/>
            <w:vAlign w:val="bottom"/>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pusdienas</w:t>
            </w:r>
          </w:p>
        </w:tc>
        <w:tc>
          <w:tcPr>
            <w:tcW w:w="1403" w:type="dxa"/>
            <w:shd w:val="clear" w:color="auto" w:fill="auto"/>
            <w:vAlign w:val="bottom"/>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eiro/</w:t>
            </w:r>
            <w:proofErr w:type="spellStart"/>
            <w:r>
              <w:rPr>
                <w:rFonts w:ascii="Times New Roman" w:hAnsi="Times New Roman"/>
                <w:sz w:val="24"/>
                <w:szCs w:val="24"/>
              </w:rPr>
              <w:t>gab</w:t>
            </w:r>
            <w:proofErr w:type="spellEnd"/>
          </w:p>
        </w:tc>
        <w:tc>
          <w:tcPr>
            <w:tcW w:w="1432" w:type="dxa"/>
            <w:shd w:val="clear" w:color="auto" w:fill="auto"/>
            <w:vAlign w:val="bottom"/>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2,50</w:t>
            </w:r>
          </w:p>
        </w:tc>
        <w:tc>
          <w:tcPr>
            <w:tcW w:w="1123" w:type="dxa"/>
            <w:shd w:val="clear" w:color="auto" w:fill="auto"/>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0,53</w:t>
            </w:r>
          </w:p>
        </w:tc>
        <w:tc>
          <w:tcPr>
            <w:tcW w:w="1712" w:type="dxa"/>
            <w:shd w:val="clear" w:color="auto" w:fill="auto"/>
            <w:vAlign w:val="bottom"/>
          </w:tcPr>
          <w:p w:rsidR="000B20B3" w:rsidRDefault="000B20B3" w:rsidP="0077542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3,03</w:t>
            </w:r>
          </w:p>
        </w:tc>
      </w:tr>
    </w:tbl>
    <w:p w:rsidR="000B20B3" w:rsidRPr="00D46F81" w:rsidRDefault="000B20B3" w:rsidP="000B20B3">
      <w:pPr>
        <w:pStyle w:val="Sarakstarindkopa"/>
        <w:spacing w:after="0" w:line="240" w:lineRule="auto"/>
        <w:ind w:left="0" w:firstLine="567"/>
        <w:jc w:val="both"/>
        <w:rPr>
          <w:rFonts w:ascii="Times New Roman" w:hAnsi="Times New Roman"/>
          <w:sz w:val="24"/>
          <w:szCs w:val="24"/>
        </w:rPr>
      </w:pPr>
    </w:p>
    <w:p w:rsidR="000B20B3" w:rsidRPr="00D46F81" w:rsidRDefault="000B20B3" w:rsidP="000B20B3">
      <w:pPr>
        <w:jc w:val="both"/>
      </w:pPr>
      <w:r w:rsidRPr="00D46F81">
        <w:t>** PVN nepiemēro pamatojoties uz  Pievienotās vērtības nodokļa likuma 52. panta, 1. daļas, 11., 12. punktu.</w:t>
      </w:r>
    </w:p>
    <w:p w:rsidR="000B20B3" w:rsidRPr="00D46F81" w:rsidRDefault="000B20B3" w:rsidP="000B20B3">
      <w:pPr>
        <w:pStyle w:val="Sarakstarindkopa"/>
        <w:spacing w:after="0" w:line="240" w:lineRule="auto"/>
        <w:ind w:left="0" w:firstLine="567"/>
        <w:jc w:val="both"/>
        <w:rPr>
          <w:rFonts w:ascii="Times New Roman" w:hAnsi="Times New Roman"/>
          <w:sz w:val="24"/>
          <w:szCs w:val="24"/>
        </w:rPr>
      </w:pPr>
    </w:p>
    <w:p w:rsidR="000B20B3" w:rsidRPr="00D46F81" w:rsidRDefault="000B20B3" w:rsidP="000B20B3">
      <w:pPr>
        <w:pStyle w:val="Sarakstarindkopa"/>
        <w:spacing w:after="0" w:line="240" w:lineRule="auto"/>
        <w:ind w:left="0" w:firstLine="567"/>
        <w:jc w:val="both"/>
        <w:rPr>
          <w:rFonts w:ascii="Times New Roman" w:hAnsi="Times New Roman"/>
          <w:sz w:val="24"/>
          <w:szCs w:val="24"/>
        </w:rPr>
      </w:pPr>
      <w:r w:rsidRPr="00D46F81">
        <w:rPr>
          <w:rFonts w:ascii="Times New Roman" w:hAnsi="Times New Roman"/>
          <w:sz w:val="24"/>
          <w:szCs w:val="24"/>
        </w:rPr>
        <w:t xml:space="preserve">2. Uzdot Madonas novada pašvaldības Finanšu nodaļai apkopot informāciju Vides aizsardzības un reģionālās attīstības ministrijai par izdevumiem, kas saistīti ar Ukrainas iedzīvotājiem sniegto palīdzību saskaņā ar 1.1. punktā noteiktajiem maksas pakalpojumiem.  </w:t>
      </w:r>
    </w:p>
    <w:p w:rsidR="000B20B3" w:rsidRPr="00D46F81" w:rsidRDefault="000B20B3" w:rsidP="000B20B3">
      <w:pPr>
        <w:pStyle w:val="Sarakstarindkopa"/>
        <w:spacing w:after="0" w:line="240" w:lineRule="auto"/>
        <w:ind w:left="0" w:firstLine="567"/>
        <w:jc w:val="both"/>
        <w:rPr>
          <w:rFonts w:ascii="Times New Roman" w:hAnsi="Times New Roman"/>
          <w:sz w:val="24"/>
          <w:szCs w:val="24"/>
        </w:rPr>
      </w:pPr>
    </w:p>
    <w:p w:rsidR="000B20B3" w:rsidRPr="00D46F81" w:rsidRDefault="000B20B3" w:rsidP="000B20B3">
      <w:pPr>
        <w:pStyle w:val="Sarakstarindkopa"/>
        <w:spacing w:after="0" w:line="240" w:lineRule="auto"/>
        <w:ind w:left="0" w:firstLine="567"/>
        <w:jc w:val="both"/>
        <w:rPr>
          <w:rFonts w:ascii="Times New Roman" w:hAnsi="Times New Roman"/>
          <w:sz w:val="24"/>
          <w:szCs w:val="24"/>
        </w:rPr>
      </w:pPr>
      <w:r w:rsidRPr="00D46F81">
        <w:rPr>
          <w:rFonts w:ascii="Times New Roman" w:hAnsi="Times New Roman"/>
          <w:sz w:val="24"/>
          <w:szCs w:val="24"/>
        </w:rPr>
        <w:t>3. Lēmums stājas spēkā ar tā pieņemšanas brīdi.</w:t>
      </w:r>
    </w:p>
    <w:p w:rsidR="000B20B3" w:rsidRDefault="000B20B3" w:rsidP="000B20B3">
      <w:pPr>
        <w:rPr>
          <w:rFonts w:eastAsia="Arial Unicode MS"/>
          <w:b/>
          <w:color w:val="000000"/>
          <w:sz w:val="18"/>
        </w:rPr>
      </w:pPr>
    </w:p>
    <w:p w:rsidR="000B20B3" w:rsidRPr="001E1A67" w:rsidRDefault="000B20B3" w:rsidP="000B20B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color w:val="000000"/>
        </w:rPr>
      </w:pPr>
    </w:p>
    <w:p w:rsidR="000B20B3" w:rsidRDefault="000B20B3" w:rsidP="000B20B3">
      <w:pPr>
        <w:jc w:val="center"/>
        <w:rPr>
          <w:color w:val="000000"/>
          <w:lang w:bidi="lo-LA"/>
        </w:rPr>
      </w:pPr>
      <w:bookmarkStart w:id="3" w:name="_Hlk508403601"/>
      <w:bookmarkStart w:id="4" w:name="OLE_LINK1"/>
      <w:r w:rsidRPr="001E1A67">
        <w:rPr>
          <w:color w:val="000000"/>
          <w:lang w:bidi="lo-LA"/>
        </w:rPr>
        <w:t>Domes priekšsēdētājs</w:t>
      </w:r>
      <w:r w:rsidRPr="001E1A67">
        <w:rPr>
          <w:color w:val="000000"/>
          <w:lang w:bidi="lo-LA"/>
        </w:rPr>
        <w:tab/>
      </w:r>
      <w:r w:rsidRPr="001E1A67">
        <w:rPr>
          <w:color w:val="000000"/>
          <w:lang w:bidi="lo-LA"/>
        </w:rPr>
        <w:tab/>
      </w:r>
      <w:r w:rsidRPr="001E1A67">
        <w:rPr>
          <w:color w:val="000000"/>
          <w:lang w:bidi="lo-LA"/>
        </w:rPr>
        <w:tab/>
      </w:r>
      <w:r w:rsidRPr="001E1A67">
        <w:rPr>
          <w:color w:val="000000"/>
          <w:lang w:bidi="lo-LA"/>
        </w:rPr>
        <w:tab/>
      </w:r>
      <w:r w:rsidRPr="001E1A67">
        <w:rPr>
          <w:color w:val="000000"/>
          <w:lang w:bidi="lo-LA"/>
        </w:rPr>
        <w:tab/>
      </w:r>
      <w:proofErr w:type="spellStart"/>
      <w:r w:rsidRPr="001E1A67">
        <w:rPr>
          <w:color w:val="000000"/>
          <w:lang w:bidi="lo-LA"/>
        </w:rPr>
        <w:t>A.Lungevičs</w:t>
      </w:r>
      <w:bookmarkEnd w:id="3"/>
      <w:bookmarkEnd w:id="4"/>
      <w:proofErr w:type="spellEnd"/>
    </w:p>
    <w:p w:rsidR="000B20B3" w:rsidRDefault="000B20B3" w:rsidP="000B20B3">
      <w:pPr>
        <w:jc w:val="center"/>
        <w:rPr>
          <w:color w:val="000000"/>
          <w:lang w:bidi="lo-LA"/>
        </w:rPr>
      </w:pPr>
    </w:p>
    <w:p w:rsidR="000B20B3" w:rsidRPr="001E1A67" w:rsidRDefault="000B20B3" w:rsidP="000B20B3">
      <w:pPr>
        <w:jc w:val="center"/>
        <w:rPr>
          <w:i/>
          <w:color w:val="000000"/>
          <w:lang w:eastAsia="en-US"/>
        </w:rPr>
      </w:pPr>
    </w:p>
    <w:p w:rsidR="00772A00" w:rsidRPr="000B20B3" w:rsidRDefault="000B20B3" w:rsidP="000B20B3">
      <w:pPr>
        <w:jc w:val="both"/>
        <w:rPr>
          <w:i/>
          <w:iCs/>
        </w:rPr>
      </w:pPr>
      <w:r w:rsidRPr="00086E68">
        <w:rPr>
          <w:i/>
        </w:rPr>
        <w:t>Ankrava 29374376</w:t>
      </w:r>
    </w:p>
    <w:sectPr w:rsidR="00772A00" w:rsidRPr="000B20B3" w:rsidSect="008D216B">
      <w:footerReference w:type="default" r:id="rId5"/>
      <w:pgSz w:w="11906" w:h="16838"/>
      <w:pgMar w:top="1134" w:right="1134"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16B" w:rsidRDefault="000B20B3">
    <w:pPr>
      <w:pStyle w:val="Kjene"/>
      <w:jc w:val="center"/>
    </w:pPr>
    <w:r>
      <w:fldChar w:fldCharType="begin"/>
    </w:r>
    <w:r>
      <w:instrText>PAGE   \* MERGEFORMAT</w:instrText>
    </w:r>
    <w:r>
      <w:fldChar w:fldCharType="separate"/>
    </w:r>
    <w:r>
      <w:rPr>
        <w:noProof/>
      </w:rPr>
      <w:t>2</w:t>
    </w:r>
    <w:r>
      <w:fldChar w:fldCharType="end"/>
    </w:r>
  </w:p>
  <w:p w:rsidR="008D216B" w:rsidRDefault="000B20B3">
    <w:pPr>
      <w:pStyle w:val="Kjen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B3"/>
    <w:rsid w:val="000B20B3"/>
    <w:rsid w:val="00772A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96CB4"/>
  <w15:chartTrackingRefBased/>
  <w15:docId w15:val="{9326D123-9BE9-4317-9B02-3F9CEA2F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B20B3"/>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
    <w:basedOn w:val="Parasts"/>
    <w:link w:val="SarakstarindkopaRakstz"/>
    <w:uiPriority w:val="34"/>
    <w:qFormat/>
    <w:rsid w:val="000B20B3"/>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
    <w:link w:val="Sarakstarindkopa"/>
    <w:uiPriority w:val="34"/>
    <w:locked/>
    <w:rsid w:val="000B20B3"/>
    <w:rPr>
      <w:rFonts w:ascii="Calibri" w:eastAsia="Calibri" w:hAnsi="Calibri" w:cs="Times New Roman"/>
    </w:rPr>
  </w:style>
  <w:style w:type="paragraph" w:styleId="Kjene">
    <w:name w:val="footer"/>
    <w:basedOn w:val="Parasts"/>
    <w:link w:val="KjeneRakstz"/>
    <w:uiPriority w:val="99"/>
    <w:rsid w:val="000B20B3"/>
    <w:pPr>
      <w:tabs>
        <w:tab w:val="center" w:pos="4153"/>
        <w:tab w:val="right" w:pos="8306"/>
      </w:tabs>
    </w:pPr>
  </w:style>
  <w:style w:type="character" w:customStyle="1" w:styleId="KjeneRakstz">
    <w:name w:val="Kājene Rakstz."/>
    <w:basedOn w:val="Noklusjumarindkopasfonts"/>
    <w:link w:val="Kjene"/>
    <w:uiPriority w:val="99"/>
    <w:rsid w:val="000B20B3"/>
    <w:rPr>
      <w:rFonts w:ascii="Times New Roman" w:eastAsia="Times New Roman" w:hAnsi="Times New Roman" w:cs="Times New Roman"/>
      <w:sz w:val="24"/>
      <w:szCs w:val="24"/>
      <w:lang w:eastAsia="lv-LV"/>
    </w:rPr>
  </w:style>
  <w:style w:type="character" w:styleId="Izteiksmgs">
    <w:name w:val="Strong"/>
    <w:uiPriority w:val="22"/>
    <w:qFormat/>
    <w:rsid w:val="000B2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4453</Words>
  <Characters>2539</Characters>
  <Application>Microsoft Office Word</Application>
  <DocSecurity>0</DocSecurity>
  <Lines>21</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LindaV</dc:creator>
  <cp:keywords/>
  <dc:description/>
  <cp:lastModifiedBy>LindaV</cp:lastModifiedBy>
  <cp:revision>1</cp:revision>
  <dcterms:created xsi:type="dcterms:W3CDTF">2022-08-03T05:46:00Z</dcterms:created>
  <dcterms:modified xsi:type="dcterms:W3CDTF">2022-08-03T05:49:00Z</dcterms:modified>
</cp:coreProperties>
</file>